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30269" w14:textId="77777777" w:rsidR="001C4CB6" w:rsidRDefault="001C4CB6" w:rsidP="007117EE">
      <w:pPr>
        <w:pStyle w:val="a4"/>
        <w:spacing w:before="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2607E8" w14:textId="55ED5164" w:rsidR="00D15121" w:rsidRDefault="0029145B" w:rsidP="007117EE">
      <w:pPr>
        <w:pStyle w:val="a4"/>
        <w:spacing w:before="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FD9DF9" wp14:editId="7B8614A3">
            <wp:extent cx="2737995" cy="375368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И_лог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01" cy="38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A40FB" w14:textId="2C231C19" w:rsidR="001C4CB6" w:rsidRDefault="001C4CB6" w:rsidP="007117EE">
      <w:pPr>
        <w:pStyle w:val="a4"/>
        <w:spacing w:before="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C86F87" w14:textId="77777777" w:rsidR="008F2BA7" w:rsidRDefault="008F2BA7" w:rsidP="008F2B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E88F2" w14:textId="5EB3495A" w:rsidR="00DC15B3" w:rsidRDefault="00DC15B3" w:rsidP="00DC15B3">
      <w:pPr>
        <w:pStyle w:val="1"/>
        <w:spacing w:before="0" w:line="540" w:lineRule="atLeast"/>
        <w:textAlignment w:val="baseline"/>
        <w:rPr>
          <w:rFonts w:ascii="Arial" w:eastAsia="Times New Roman" w:hAnsi="Arial" w:cs="Arial"/>
          <w:color w:val="28282D"/>
          <w:spacing w:val="-5"/>
          <w:sz w:val="45"/>
          <w:szCs w:val="45"/>
        </w:rPr>
      </w:pPr>
      <w:bookmarkStart w:id="0" w:name="_GoBack"/>
      <w:r>
        <w:rPr>
          <w:rFonts w:ascii="Arial" w:eastAsia="Times New Roman" w:hAnsi="Arial" w:cs="Arial"/>
          <w:color w:val="28282D"/>
          <w:spacing w:val="-5"/>
          <w:sz w:val="45"/>
          <w:szCs w:val="45"/>
        </w:rPr>
        <w:t>Ситуация вокруг Украины давит на рынок акций США</w:t>
      </w:r>
    </w:p>
    <w:bookmarkEnd w:id="0"/>
    <w:p w14:paraId="1F11E3DB" w14:textId="17208758" w:rsidR="00DC15B3" w:rsidRDefault="00DC15B3" w:rsidP="00DC15B3">
      <w:r>
        <w:rPr>
          <w:rFonts w:eastAsia="Times New Roman"/>
          <w:noProof/>
          <w:lang w:eastAsia="ru-RU"/>
        </w:rPr>
        <w:drawing>
          <wp:inline distT="0" distB="0" distL="0" distR="0" wp14:anchorId="310B53C9" wp14:editId="036A1126">
            <wp:extent cx="5931535" cy="819150"/>
            <wp:effectExtent l="0" t="0" r="0" b="0"/>
            <wp:docPr id="5" name="Рисунок 5" descr="Сыроват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ыроватк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037BB" w14:textId="657BF91F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В начале торговой сессии понедельника, 28 февраля, рынок акций США заметно снижался на фоне неопределенности, связанной с дальнейшим развитием событий вокруг Украины и России. Администрация Джо Байдена запретила американским юридическим и физическим лицам вести дела с Банком России, ФНБ и Минфином. Акции банков, имеющих связи с Россией (Raiffeisen, Societe Generale, Unicredit), находились в числе главных аутсайдеров, а бумаги компаний из защитных секторов пользовались спросом.</w:t>
      </w:r>
      <w:r>
        <w:rPr>
          <w:rFonts w:ascii="Arial" w:hAnsi="Arial" w:cs="Arial"/>
          <w:color w:val="28282D"/>
          <w:sz w:val="21"/>
          <w:szCs w:val="21"/>
        </w:rPr>
        <w:br/>
      </w:r>
      <w:r>
        <w:rPr>
          <w:rFonts w:ascii="Arial" w:hAnsi="Arial" w:cs="Arial"/>
          <w:noProof/>
          <w:color w:val="28282D"/>
          <w:sz w:val="21"/>
          <w:szCs w:val="21"/>
        </w:rPr>
        <w:drawing>
          <wp:inline distT="0" distB="0" distL="0" distR="0" wp14:anchorId="23555D07" wp14:editId="5FB95EF0">
            <wp:extent cx="6607810" cy="3928110"/>
            <wp:effectExtent l="0" t="0" r="2540" b="0"/>
            <wp:docPr id="1" name="Рисунок 1" descr="https://s3.open-broker.ru/site/files/public/AYa4weHXSwOETyh7qsYXsjLA/spx-28-02.png?ttd9schpgleod0ba9r9j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3.open-broker.ru/site/files/public/AYa4weHXSwOETyh7qsYXsjLA/spx-28-02.png?ttd9schpgleod0ba9r9jw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8282D"/>
          <w:sz w:val="21"/>
          <w:szCs w:val="21"/>
        </w:rPr>
        <w:br/>
        <w:t>На 17:55 мск:</w:t>
      </w:r>
    </w:p>
    <w:p w14:paraId="7D66B993" w14:textId="77777777" w:rsidR="00DC15B3" w:rsidRDefault="00DC15B3" w:rsidP="00DC15B3">
      <w:pPr>
        <w:pStyle w:val="listlistitemkn83g"/>
        <w:numPr>
          <w:ilvl w:val="0"/>
          <w:numId w:val="30"/>
        </w:numPr>
        <w:spacing w:beforeAutospacing="0" w:after="120" w:afterAutospacing="0" w:line="300" w:lineRule="atLeast"/>
        <w:ind w:left="0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S&amp;P 500 — 4 342 п. (-0,97%) с нач. года -8,90%</w:t>
      </w:r>
    </w:p>
    <w:p w14:paraId="68EA48E4" w14:textId="77777777" w:rsidR="00DC15B3" w:rsidRDefault="00DC15B3" w:rsidP="00DC15B3">
      <w:pPr>
        <w:pStyle w:val="listlistitemkn83g"/>
        <w:numPr>
          <w:ilvl w:val="0"/>
          <w:numId w:val="30"/>
        </w:numPr>
        <w:spacing w:beforeAutospacing="0" w:after="120" w:afterAutospacing="0" w:line="300" w:lineRule="atLeast"/>
        <w:ind w:left="0"/>
        <w:rPr>
          <w:rFonts w:ascii="Arial" w:hAnsi="Arial" w:cs="Arial"/>
          <w:color w:val="28282D"/>
          <w:sz w:val="21"/>
          <w:szCs w:val="21"/>
          <w:lang w:val="en-US"/>
        </w:rPr>
      </w:pPr>
      <w:r>
        <w:rPr>
          <w:rFonts w:ascii="Arial" w:hAnsi="Arial" w:cs="Arial"/>
          <w:color w:val="28282D"/>
          <w:sz w:val="21"/>
          <w:szCs w:val="21"/>
          <w:lang w:val="en-US"/>
        </w:rPr>
        <w:t xml:space="preserve">Dow Jones Industrial — 33 666 </w:t>
      </w:r>
      <w:r>
        <w:rPr>
          <w:rFonts w:ascii="Arial" w:hAnsi="Arial" w:cs="Arial"/>
          <w:color w:val="28282D"/>
          <w:sz w:val="21"/>
          <w:szCs w:val="21"/>
        </w:rPr>
        <w:t>п</w:t>
      </w:r>
      <w:r>
        <w:rPr>
          <w:rFonts w:ascii="Arial" w:hAnsi="Arial" w:cs="Arial"/>
          <w:color w:val="28282D"/>
          <w:sz w:val="21"/>
          <w:szCs w:val="21"/>
          <w:lang w:val="en-US"/>
        </w:rPr>
        <w:t xml:space="preserve">. (-1,15%), </w:t>
      </w:r>
      <w:r>
        <w:rPr>
          <w:rFonts w:ascii="Arial" w:hAnsi="Arial" w:cs="Arial"/>
          <w:color w:val="28282D"/>
          <w:sz w:val="21"/>
          <w:szCs w:val="21"/>
        </w:rPr>
        <w:t>с</w:t>
      </w:r>
      <w:r>
        <w:rPr>
          <w:rFonts w:ascii="Arial" w:hAnsi="Arial" w:cs="Arial"/>
          <w:color w:val="28282D"/>
          <w:sz w:val="21"/>
          <w:szCs w:val="21"/>
          <w:lang w:val="en-US"/>
        </w:rPr>
        <w:t> </w:t>
      </w:r>
      <w:r>
        <w:rPr>
          <w:rFonts w:ascii="Arial" w:hAnsi="Arial" w:cs="Arial"/>
          <w:color w:val="28282D"/>
          <w:sz w:val="21"/>
          <w:szCs w:val="21"/>
        </w:rPr>
        <w:t>нач</w:t>
      </w:r>
      <w:r>
        <w:rPr>
          <w:rFonts w:ascii="Arial" w:hAnsi="Arial" w:cs="Arial"/>
          <w:color w:val="28282D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28282D"/>
          <w:sz w:val="21"/>
          <w:szCs w:val="21"/>
        </w:rPr>
        <w:t>года</w:t>
      </w:r>
      <w:r>
        <w:rPr>
          <w:rFonts w:ascii="Arial" w:hAnsi="Arial" w:cs="Arial"/>
          <w:color w:val="28282D"/>
          <w:sz w:val="21"/>
          <w:szCs w:val="21"/>
          <w:lang w:val="en-US"/>
        </w:rPr>
        <w:t xml:space="preserve"> -7,35%</w:t>
      </w:r>
    </w:p>
    <w:p w14:paraId="7EFB42D8" w14:textId="77777777" w:rsidR="00DC15B3" w:rsidRDefault="00DC15B3" w:rsidP="00DC15B3">
      <w:pPr>
        <w:pStyle w:val="listlistitemkn83g"/>
        <w:numPr>
          <w:ilvl w:val="0"/>
          <w:numId w:val="30"/>
        </w:numPr>
        <w:spacing w:beforeAutospacing="0" w:after="120" w:afterAutospacing="0" w:line="300" w:lineRule="atLeast"/>
        <w:ind w:left="0"/>
        <w:rPr>
          <w:rFonts w:ascii="Arial" w:hAnsi="Arial" w:cs="Arial"/>
          <w:color w:val="28282D"/>
          <w:sz w:val="21"/>
          <w:szCs w:val="21"/>
          <w:lang w:val="en-US"/>
        </w:rPr>
      </w:pPr>
      <w:r>
        <w:rPr>
          <w:rFonts w:ascii="Arial" w:hAnsi="Arial" w:cs="Arial"/>
          <w:color w:val="28282D"/>
          <w:sz w:val="21"/>
          <w:szCs w:val="21"/>
          <w:lang w:val="en-US"/>
        </w:rPr>
        <w:t xml:space="preserve">Nasdaq Composite — 13 626 </w:t>
      </w:r>
      <w:r>
        <w:rPr>
          <w:rFonts w:ascii="Arial" w:hAnsi="Arial" w:cs="Arial"/>
          <w:color w:val="28282D"/>
          <w:sz w:val="21"/>
          <w:szCs w:val="21"/>
        </w:rPr>
        <w:t>п</w:t>
      </w:r>
      <w:r>
        <w:rPr>
          <w:rFonts w:ascii="Arial" w:hAnsi="Arial" w:cs="Arial"/>
          <w:color w:val="28282D"/>
          <w:sz w:val="21"/>
          <w:szCs w:val="21"/>
          <w:lang w:val="en-US"/>
        </w:rPr>
        <w:t xml:space="preserve">. (-0,50%), </w:t>
      </w:r>
      <w:r>
        <w:rPr>
          <w:rFonts w:ascii="Arial" w:hAnsi="Arial" w:cs="Arial"/>
          <w:color w:val="28282D"/>
          <w:sz w:val="21"/>
          <w:szCs w:val="21"/>
        </w:rPr>
        <w:t>с</w:t>
      </w:r>
      <w:r>
        <w:rPr>
          <w:rFonts w:ascii="Arial" w:hAnsi="Arial" w:cs="Arial"/>
          <w:color w:val="28282D"/>
          <w:sz w:val="21"/>
          <w:szCs w:val="21"/>
          <w:lang w:val="en-US"/>
        </w:rPr>
        <w:t> </w:t>
      </w:r>
      <w:r>
        <w:rPr>
          <w:rFonts w:ascii="Arial" w:hAnsi="Arial" w:cs="Arial"/>
          <w:color w:val="28282D"/>
          <w:sz w:val="21"/>
          <w:szCs w:val="21"/>
        </w:rPr>
        <w:t>нач</w:t>
      </w:r>
      <w:r>
        <w:rPr>
          <w:rFonts w:ascii="Arial" w:hAnsi="Arial" w:cs="Arial"/>
          <w:color w:val="28282D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28282D"/>
          <w:sz w:val="21"/>
          <w:szCs w:val="21"/>
        </w:rPr>
        <w:t>года</w:t>
      </w:r>
      <w:r>
        <w:rPr>
          <w:rFonts w:ascii="Arial" w:hAnsi="Arial" w:cs="Arial"/>
          <w:color w:val="28282D"/>
          <w:sz w:val="21"/>
          <w:szCs w:val="21"/>
          <w:lang w:val="en-US"/>
        </w:rPr>
        <w:t xml:space="preserve"> -12,90%</w:t>
      </w:r>
    </w:p>
    <w:p w14:paraId="08404784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Компоненты S&amp;P 500 показывали очень слабую динамику: по состоянию на 17:55 мск снижались 10 из 11 основных секторов индекса.</w:t>
      </w:r>
    </w:p>
    <w:p w14:paraId="25044DEC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Лучше всех держались сектора энергетики (+0,04%), ЖКХ (-0,24%) и промышленности (-0,32%). Главными аутсайдерами выступали финансы (-2,03%), производство материалов (-1,48%) и товаров первой необходимости (-1,27%).</w:t>
      </w:r>
    </w:p>
    <w:p w14:paraId="312E2EB4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lastRenderedPageBreak/>
        <w:t>13% компонентов S&amp;P 500 дорожали и 87% дешевели.</w:t>
      </w:r>
    </w:p>
    <w:p w14:paraId="53C26C4E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Рынок ждет, что эскалация конфликта вокруг Украины вынудит ФРС смягчить позицию. Фьючерсы на ставку по федеральным фондам учитывают в ценах 5,64 ее повышений до конца года против 6,22 по состоянию на закрытие сессии пятницы, 25 февраля.</w:t>
      </w:r>
    </w:p>
    <w:p w14:paraId="64C1E006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Капитал продолжает течь на рынок акций США: по данным Bloomberg, на прошлой неделе SPY (ETF, ориентированный на S&amp;P 500) привлек свыше $10 млрд, из которых $7 млрд пришлись на одну только пятницу, когда S&amp;P 500 вырос на 2,24%. Тем временем QQQ (ETF, ориентированный на Nasdaq 100) зафиксировал приток капитала объемом $1,4 млрд, а TQQQ («тройной» ETF, ориентированный на Nasdaq 100) привлек $1,1 млрд.</w:t>
      </w:r>
    </w:p>
    <w:p w14:paraId="7CBC3166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Несмотря на это аналитики Goldman Sachs отмечают, что ликвидность рынка акций США (лимитные ордера маркет-мейкеров, выставленные в мини-фьючерсах на S&amp;P 500) опустилась до уровней, которые за последние 15 лет наблюдались лишь трижды. Вице-президент банка Ли Копперсмит обращает внимание инвесторов на то, что им надо учитывать данный факт, особенно на фоне других рисков, включающих в себя перспективы замедления темпов роста экономики США, грядущее начало цикла повышения ставок и растущие геополитические риски.</w:t>
      </w:r>
    </w:p>
    <w:p w14:paraId="5AC0137C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Главный стратег JPMorgan Chase Мислав Матежка советует инвесторам избегать панических продаж на фоне текущих геополитических событий. По его словам, большинство военных конфликтов, особенно локальных, редко надолго ухудшают рыночные настроения и часто оказываются хорошей возможностью для покупки. Стратеги банка также отмечают, что акции европейских компаний и банков вряд ли будут показывать хорошую динамику до тех пор, пока конфликт вокруг Украины доминирует в заголовках новостей. Однако на горизонте одного месяца и дальше эти бумаги (Европа + банки) выглядят весьма перспективными.</w:t>
      </w:r>
    </w:p>
    <w:p w14:paraId="15B85896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Стратеги UBS Global Wealth Management также призывают инвесторов не совершать резких движений, исходя из текущих событий. По их мнению, разумной выглядит диверсификация портфелей по регионам, секторам и классам активов, а также использование сырья для хеджирования геополитических рисков.</w:t>
      </w:r>
    </w:p>
    <w:p w14:paraId="5C2B327B" w14:textId="77777777" w:rsidR="00DC15B3" w:rsidRDefault="00DC15B3" w:rsidP="00DC15B3">
      <w:pPr>
        <w:pStyle w:val="a3"/>
        <w:spacing w:line="300" w:lineRule="atLeast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Стратеги Morgan Stanley занимают более пессимистичную позицию, полагая, что в марте бычий моментум на рынке акций окончательно иссякнет, когда ФРС приступит к повышению ставок. Это, по их мнению, приведет к снижению прибыли американских корпораций.</w:t>
      </w:r>
    </w:p>
    <w:p w14:paraId="003C772C" w14:textId="77777777" w:rsidR="00DC15B3" w:rsidRDefault="00DC15B3" w:rsidP="00DC15B3">
      <w:pPr>
        <w:pStyle w:val="3"/>
        <w:spacing w:before="300" w:after="300" w:line="390" w:lineRule="atLeast"/>
        <w:rPr>
          <w:rFonts w:ascii="Arial" w:eastAsia="Times New Roman" w:hAnsi="Arial" w:cs="Arial"/>
          <w:color w:val="2E2F31"/>
          <w:spacing w:val="-5"/>
          <w:sz w:val="30"/>
          <w:szCs w:val="30"/>
        </w:rPr>
      </w:pPr>
      <w:r>
        <w:rPr>
          <w:rFonts w:ascii="Arial" w:eastAsia="Times New Roman" w:hAnsi="Arial" w:cs="Arial"/>
          <w:color w:val="2E2F31"/>
          <w:spacing w:val="-5"/>
          <w:sz w:val="30"/>
          <w:szCs w:val="30"/>
        </w:rPr>
        <w:t>Корпоративные истории</w:t>
      </w:r>
    </w:p>
    <w:p w14:paraId="2AB48856" w14:textId="77777777" w:rsidR="00DC15B3" w:rsidRDefault="00DC15B3" w:rsidP="00DC15B3">
      <w:pPr>
        <w:pStyle w:val="listlistitemkn83g"/>
        <w:numPr>
          <w:ilvl w:val="0"/>
          <w:numId w:val="31"/>
        </w:numPr>
        <w:spacing w:beforeAutospacing="0" w:after="120" w:afterAutospacing="0" w:line="300" w:lineRule="atLeast"/>
        <w:ind w:left="0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Акции Arbutus Biopharma (ABUS) росли на 12%: компания подала иск к Moderna по поводу технологии, используемой при производстве вакцины от Covid-19</w:t>
      </w:r>
    </w:p>
    <w:p w14:paraId="6ADF0B4E" w14:textId="77777777" w:rsidR="00DC15B3" w:rsidRDefault="00DC15B3" w:rsidP="00DC15B3">
      <w:pPr>
        <w:pStyle w:val="listlistitemkn83g"/>
        <w:numPr>
          <w:ilvl w:val="0"/>
          <w:numId w:val="31"/>
        </w:numPr>
        <w:spacing w:beforeAutospacing="0" w:after="120" w:afterAutospacing="0" w:line="300" w:lineRule="atLeast"/>
        <w:ind w:left="0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Акции Aurinia Pharmaceuticals (AUPH) снижались на 20%: квартальный убыток компании вырос до 25 центов на акцию с 5 центов на акцию</w:t>
      </w:r>
    </w:p>
    <w:p w14:paraId="09C1A32E" w14:textId="77777777" w:rsidR="00DC15B3" w:rsidRDefault="00DC15B3" w:rsidP="00DC15B3">
      <w:pPr>
        <w:pStyle w:val="listlistitemkn83g"/>
        <w:numPr>
          <w:ilvl w:val="0"/>
          <w:numId w:val="31"/>
        </w:numPr>
        <w:spacing w:beforeAutospacing="0" w:after="120" w:afterAutospacing="0" w:line="300" w:lineRule="atLeast"/>
        <w:ind w:left="0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Акции Epam Systems (EPAM) дешевели на 5%: Piper Sandler понизил рейтинг бумаг до «нейтрально» с «выше рынка», сославшись на «беспрецедентную и повышенную геополитическую нестабильность»</w:t>
      </w:r>
    </w:p>
    <w:p w14:paraId="649DC84B" w14:textId="77777777" w:rsidR="00DC15B3" w:rsidRDefault="00DC15B3" w:rsidP="00DC15B3">
      <w:pPr>
        <w:pStyle w:val="listlistitemkn83g"/>
        <w:numPr>
          <w:ilvl w:val="0"/>
          <w:numId w:val="31"/>
        </w:numPr>
        <w:spacing w:beforeAutospacing="0" w:after="120" w:afterAutospacing="0" w:line="300" w:lineRule="atLeast"/>
        <w:ind w:left="0"/>
        <w:rPr>
          <w:rFonts w:ascii="Arial" w:hAnsi="Arial" w:cs="Arial"/>
          <w:color w:val="28282D"/>
          <w:sz w:val="21"/>
          <w:szCs w:val="21"/>
        </w:rPr>
      </w:pPr>
      <w:r>
        <w:rPr>
          <w:rFonts w:ascii="Arial" w:hAnsi="Arial" w:cs="Arial"/>
          <w:color w:val="28282D"/>
          <w:sz w:val="21"/>
          <w:szCs w:val="21"/>
        </w:rPr>
        <w:t>Торги акциями Yandex (YNDX) были приостановлены после их снижения на 20% с лишним</w:t>
      </w:r>
    </w:p>
    <w:p w14:paraId="0F0E3D1C" w14:textId="77777777" w:rsidR="00574CB0" w:rsidRDefault="00574CB0" w:rsidP="00574CB0">
      <w:pPr>
        <w:pStyle w:val="a3"/>
        <w:spacing w:line="300" w:lineRule="atLeast"/>
        <w:rPr>
          <w:rFonts w:ascii="Calibri" w:hAnsi="Calibri"/>
          <w:color w:val="1F497D"/>
          <w:sz w:val="22"/>
          <w:szCs w:val="22"/>
        </w:rPr>
      </w:pPr>
    </w:p>
    <w:p w14:paraId="23F3A0B4" w14:textId="77777777" w:rsidR="00253C0C" w:rsidRDefault="00253C0C" w:rsidP="00253C0C">
      <w:pPr>
        <w:spacing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Пресс-служба «Открытие Инвестиции»</w:t>
      </w:r>
    </w:p>
    <w:p w14:paraId="5468E451" w14:textId="5CC51299" w:rsidR="00253C0C" w:rsidRDefault="008F2BA7" w:rsidP="00253C0C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Полина Смородская</w:t>
      </w:r>
    </w:p>
    <w:p w14:paraId="67DC1185" w14:textId="7EC83E4E" w:rsidR="00253C0C" w:rsidRPr="005A7C84" w:rsidRDefault="00253C0C" w:rsidP="00253C0C">
      <w:pPr>
        <w:shd w:val="clear" w:color="auto" w:fill="FFFFFF"/>
        <w:spacing w:after="0" w:line="240" w:lineRule="atLeast"/>
        <w:ind w:firstLine="709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+7 (</w:t>
      </w:r>
      <w:r w:rsidR="008F2BA7">
        <w:rPr>
          <w:rFonts w:ascii="Times New Roman" w:hAnsi="Times New Roman" w:cs="Times New Roman"/>
          <w:sz w:val="20"/>
          <w:szCs w:val="20"/>
          <w:shd w:val="clear" w:color="auto" w:fill="FFFFFF"/>
        </w:rPr>
        <w:t>926)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F2BA7">
        <w:rPr>
          <w:rFonts w:ascii="Times New Roman" w:hAnsi="Times New Roman" w:cs="Times New Roman"/>
          <w:sz w:val="20"/>
          <w:szCs w:val="20"/>
          <w:shd w:val="clear" w:color="auto" w:fill="FFFFFF"/>
        </w:rPr>
        <w:t>9029656</w:t>
      </w:r>
    </w:p>
    <w:p w14:paraId="5D42704D" w14:textId="72864C49" w:rsidR="00083AD3" w:rsidRDefault="00083AD3" w:rsidP="00C3648B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453C6142" w14:textId="77777777" w:rsidR="000627A6" w:rsidRPr="007E0897" w:rsidRDefault="000627A6" w:rsidP="000627A6">
      <w:pPr>
        <w:jc w:val="both"/>
        <w:rPr>
          <w:rFonts w:ascii="Times New Roman" w:eastAsia="Times New Roman" w:hAnsi="Times New Roman" w:cs="Times New Roman"/>
        </w:rPr>
      </w:pPr>
      <w:r w:rsidRPr="007E0897">
        <w:rPr>
          <w:rFonts w:ascii="Times New Roman" w:eastAsia="Times New Roman" w:hAnsi="Times New Roman" w:cs="Times New Roman"/>
          <w:b/>
          <w:bCs/>
          <w:sz w:val="18"/>
          <w:szCs w:val="18"/>
        </w:rPr>
        <w:t>Справка об «Открытие Инвестиции»</w:t>
      </w:r>
    </w:p>
    <w:p w14:paraId="229BA8ED" w14:textId="15B61D8E" w:rsidR="000627A6" w:rsidRPr="007E0897" w:rsidRDefault="000627A6" w:rsidP="000627A6">
      <w:pPr>
        <w:jc w:val="both"/>
        <w:rPr>
          <w:rFonts w:ascii="Times New Roman" w:eastAsia="Times New Roman" w:hAnsi="Times New Roman" w:cs="Times New Roman"/>
        </w:rPr>
      </w:pPr>
      <w:r w:rsidRPr="007E0897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 </w:t>
      </w:r>
      <w:r w:rsidRPr="007E0897">
        <w:rPr>
          <w:rFonts w:ascii="Times New Roman" w:eastAsia="Times New Roman" w:hAnsi="Times New Roman" w:cs="Times New Roman"/>
          <w:sz w:val="18"/>
          <w:szCs w:val="18"/>
        </w:rPr>
        <w:t>«Открытие Инвестиции» – бренд, объединяющий продукты «Открытие Брокер» и УК «Открытие» на единой онлайн-витрине. Главная задача бренда — предлагать клиентам максимально широкий спектр инвестиционных решений. Синергия компетенций, ресурсов, инфраструктуры и разработок компаний в рамках единого пространства позволяет обеспечить широкий спектр финансовых предложений для всех категорий инвесторов. «Открытие Инвестиции» (на рынке с 1995 года), на протяжении многих лет входит в число ведущих операторов торгов Московской биржи: объём операций на фондовом рынке за 2021 г. превысил 13,7 трлн рублей, а число обслуживаемых клиентов - 417 тыс. Компания имеет максимальный рейтинг надёжности на уровне «ААА.ru.iv», ежегодно подтверждая его с 2010 года.</w:t>
      </w:r>
    </w:p>
    <w:p w14:paraId="48AC5142" w14:textId="77777777" w:rsidR="000627A6" w:rsidRDefault="000627A6" w:rsidP="000627A6">
      <w:pPr>
        <w:pStyle w:val="a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6CB63FFF" w14:textId="77777777" w:rsidR="0029145B" w:rsidRPr="00DA5400" w:rsidRDefault="0029145B" w:rsidP="009B43D5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sectPr w:rsidR="0029145B" w:rsidRPr="00DA5400" w:rsidSect="00996FEC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3838" w14:textId="77777777" w:rsidR="008D6211" w:rsidRDefault="008D6211" w:rsidP="005A442B">
      <w:pPr>
        <w:spacing w:after="0" w:line="240" w:lineRule="auto"/>
      </w:pPr>
      <w:r>
        <w:separator/>
      </w:r>
    </w:p>
  </w:endnote>
  <w:endnote w:type="continuationSeparator" w:id="0">
    <w:p w14:paraId="382843EE" w14:textId="77777777" w:rsidR="008D6211" w:rsidRDefault="008D6211" w:rsidP="005A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848A" w14:textId="77777777" w:rsidR="008D6211" w:rsidRDefault="008D6211" w:rsidP="005A442B">
      <w:pPr>
        <w:spacing w:after="0" w:line="240" w:lineRule="auto"/>
      </w:pPr>
      <w:r>
        <w:separator/>
      </w:r>
    </w:p>
  </w:footnote>
  <w:footnote w:type="continuationSeparator" w:id="0">
    <w:p w14:paraId="24D48764" w14:textId="77777777" w:rsidR="008D6211" w:rsidRDefault="008D6211" w:rsidP="005A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C0E"/>
    <w:multiLevelType w:val="multilevel"/>
    <w:tmpl w:val="3548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379B"/>
    <w:multiLevelType w:val="hybridMultilevel"/>
    <w:tmpl w:val="C3E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420D"/>
    <w:multiLevelType w:val="hybridMultilevel"/>
    <w:tmpl w:val="4DD65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3624D"/>
    <w:multiLevelType w:val="hybridMultilevel"/>
    <w:tmpl w:val="34AE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45C"/>
    <w:multiLevelType w:val="multilevel"/>
    <w:tmpl w:val="BFF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F5E59"/>
    <w:multiLevelType w:val="hybridMultilevel"/>
    <w:tmpl w:val="9EB2C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B635E"/>
    <w:multiLevelType w:val="hybridMultilevel"/>
    <w:tmpl w:val="CB2A9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8643E"/>
    <w:multiLevelType w:val="multilevel"/>
    <w:tmpl w:val="C3C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420C92"/>
    <w:multiLevelType w:val="multilevel"/>
    <w:tmpl w:val="B952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52948"/>
    <w:multiLevelType w:val="multilevel"/>
    <w:tmpl w:val="BC4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33EDC"/>
    <w:multiLevelType w:val="hybridMultilevel"/>
    <w:tmpl w:val="7390E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97762"/>
    <w:multiLevelType w:val="hybridMultilevel"/>
    <w:tmpl w:val="83C0F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D0077"/>
    <w:multiLevelType w:val="multilevel"/>
    <w:tmpl w:val="2506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C36BF"/>
    <w:multiLevelType w:val="multilevel"/>
    <w:tmpl w:val="041E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F68AE"/>
    <w:multiLevelType w:val="hybridMultilevel"/>
    <w:tmpl w:val="33BE4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852E2"/>
    <w:multiLevelType w:val="multilevel"/>
    <w:tmpl w:val="FAD6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C6D72"/>
    <w:multiLevelType w:val="hybridMultilevel"/>
    <w:tmpl w:val="441AFA36"/>
    <w:lvl w:ilvl="0" w:tplc="6FF0BC1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F4729"/>
    <w:multiLevelType w:val="multilevel"/>
    <w:tmpl w:val="50C8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6A322F"/>
    <w:multiLevelType w:val="multilevel"/>
    <w:tmpl w:val="C6B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138A8"/>
    <w:multiLevelType w:val="hybridMultilevel"/>
    <w:tmpl w:val="928C7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3A6224"/>
    <w:multiLevelType w:val="multilevel"/>
    <w:tmpl w:val="A31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2172CB"/>
    <w:multiLevelType w:val="multilevel"/>
    <w:tmpl w:val="6150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87147"/>
    <w:multiLevelType w:val="multilevel"/>
    <w:tmpl w:val="E2B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734CC"/>
    <w:multiLevelType w:val="multilevel"/>
    <w:tmpl w:val="7A12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46DF7"/>
    <w:multiLevelType w:val="hybridMultilevel"/>
    <w:tmpl w:val="DDDAB9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B62AE"/>
    <w:multiLevelType w:val="hybridMultilevel"/>
    <w:tmpl w:val="092AE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230492"/>
    <w:multiLevelType w:val="hybridMultilevel"/>
    <w:tmpl w:val="16704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868A4"/>
    <w:multiLevelType w:val="hybridMultilevel"/>
    <w:tmpl w:val="47C6D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E19FE"/>
    <w:multiLevelType w:val="multilevel"/>
    <w:tmpl w:val="97E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85AE9"/>
    <w:multiLevelType w:val="multilevel"/>
    <w:tmpl w:val="DA0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D3006"/>
    <w:multiLevelType w:val="multilevel"/>
    <w:tmpl w:val="18E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29"/>
  </w:num>
  <w:num w:numId="4">
    <w:abstractNumId w:val="15"/>
  </w:num>
  <w:num w:numId="5">
    <w:abstractNumId w:val="1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4"/>
  </w:num>
  <w:num w:numId="11">
    <w:abstractNumId w:val="17"/>
  </w:num>
  <w:num w:numId="12">
    <w:abstractNumId w:val="13"/>
  </w:num>
  <w:num w:numId="13">
    <w:abstractNumId w:val="2"/>
  </w:num>
  <w:num w:numId="14">
    <w:abstractNumId w:val="16"/>
  </w:num>
  <w:num w:numId="15">
    <w:abstractNumId w:val="10"/>
  </w:num>
  <w:num w:numId="16">
    <w:abstractNumId w:val="6"/>
  </w:num>
  <w:num w:numId="17">
    <w:abstractNumId w:val="26"/>
  </w:num>
  <w:num w:numId="18">
    <w:abstractNumId w:val="20"/>
  </w:num>
  <w:num w:numId="19">
    <w:abstractNumId w:val="11"/>
  </w:num>
  <w:num w:numId="20">
    <w:abstractNumId w:val="2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 w:numId="25">
    <w:abstractNumId w:val="4"/>
  </w:num>
  <w:num w:numId="26">
    <w:abstractNumId w:val="28"/>
  </w:num>
  <w:num w:numId="27">
    <w:abstractNumId w:val="19"/>
  </w:num>
  <w:num w:numId="28">
    <w:abstractNumId w:val="27"/>
  </w:num>
  <w:num w:numId="29">
    <w:abstractNumId w:val="5"/>
  </w:num>
  <w:num w:numId="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7"/>
    <w:rsid w:val="00001E96"/>
    <w:rsid w:val="00001FF5"/>
    <w:rsid w:val="00002212"/>
    <w:rsid w:val="000026B1"/>
    <w:rsid w:val="00005C11"/>
    <w:rsid w:val="00006C1E"/>
    <w:rsid w:val="000106DB"/>
    <w:rsid w:val="000117C4"/>
    <w:rsid w:val="000149F9"/>
    <w:rsid w:val="00015CF9"/>
    <w:rsid w:val="00016B4F"/>
    <w:rsid w:val="00017DE4"/>
    <w:rsid w:val="00022A6A"/>
    <w:rsid w:val="0002541C"/>
    <w:rsid w:val="00025490"/>
    <w:rsid w:val="00027B18"/>
    <w:rsid w:val="0003149E"/>
    <w:rsid w:val="000376F0"/>
    <w:rsid w:val="0004205A"/>
    <w:rsid w:val="00042703"/>
    <w:rsid w:val="00043E67"/>
    <w:rsid w:val="00046CB3"/>
    <w:rsid w:val="00052CC4"/>
    <w:rsid w:val="00055429"/>
    <w:rsid w:val="0005768E"/>
    <w:rsid w:val="000627A6"/>
    <w:rsid w:val="00066D26"/>
    <w:rsid w:val="0007435C"/>
    <w:rsid w:val="00074E91"/>
    <w:rsid w:val="0007505E"/>
    <w:rsid w:val="000839D6"/>
    <w:rsid w:val="00083AD3"/>
    <w:rsid w:val="00085318"/>
    <w:rsid w:val="00091B90"/>
    <w:rsid w:val="00097240"/>
    <w:rsid w:val="000A3CF5"/>
    <w:rsid w:val="000B3A34"/>
    <w:rsid w:val="000C58E6"/>
    <w:rsid w:val="000C7B96"/>
    <w:rsid w:val="000C7D84"/>
    <w:rsid w:val="000D5D96"/>
    <w:rsid w:val="000E60D1"/>
    <w:rsid w:val="000E701B"/>
    <w:rsid w:val="000E7C1A"/>
    <w:rsid w:val="000F39D7"/>
    <w:rsid w:val="000F71D1"/>
    <w:rsid w:val="00101C77"/>
    <w:rsid w:val="001022AB"/>
    <w:rsid w:val="001106A8"/>
    <w:rsid w:val="001144F9"/>
    <w:rsid w:val="00120B33"/>
    <w:rsid w:val="001231AD"/>
    <w:rsid w:val="00123572"/>
    <w:rsid w:val="00123B45"/>
    <w:rsid w:val="00127D35"/>
    <w:rsid w:val="0013168E"/>
    <w:rsid w:val="001317FA"/>
    <w:rsid w:val="00134E62"/>
    <w:rsid w:val="00135B3B"/>
    <w:rsid w:val="00136356"/>
    <w:rsid w:val="00154ED0"/>
    <w:rsid w:val="00156C52"/>
    <w:rsid w:val="0016288D"/>
    <w:rsid w:val="00166539"/>
    <w:rsid w:val="0016731B"/>
    <w:rsid w:val="00170B40"/>
    <w:rsid w:val="00170BE4"/>
    <w:rsid w:val="001721D1"/>
    <w:rsid w:val="00173B32"/>
    <w:rsid w:val="00177A2F"/>
    <w:rsid w:val="00181612"/>
    <w:rsid w:val="001841E4"/>
    <w:rsid w:val="00184FF4"/>
    <w:rsid w:val="0019026B"/>
    <w:rsid w:val="0019198B"/>
    <w:rsid w:val="0019265F"/>
    <w:rsid w:val="00197F13"/>
    <w:rsid w:val="001A284A"/>
    <w:rsid w:val="001A4437"/>
    <w:rsid w:val="001A5315"/>
    <w:rsid w:val="001A5471"/>
    <w:rsid w:val="001A5F32"/>
    <w:rsid w:val="001B10D8"/>
    <w:rsid w:val="001B11E7"/>
    <w:rsid w:val="001B2D32"/>
    <w:rsid w:val="001B6679"/>
    <w:rsid w:val="001B6E81"/>
    <w:rsid w:val="001C1454"/>
    <w:rsid w:val="001C1959"/>
    <w:rsid w:val="001C4CB6"/>
    <w:rsid w:val="001C60C0"/>
    <w:rsid w:val="001D1198"/>
    <w:rsid w:val="001D1697"/>
    <w:rsid w:val="001D1C51"/>
    <w:rsid w:val="001D4A9D"/>
    <w:rsid w:val="001D7F06"/>
    <w:rsid w:val="001E01DD"/>
    <w:rsid w:val="001E1A78"/>
    <w:rsid w:val="001E288F"/>
    <w:rsid w:val="001E3735"/>
    <w:rsid w:val="001E44CC"/>
    <w:rsid w:val="001E5B09"/>
    <w:rsid w:val="001E7071"/>
    <w:rsid w:val="001F0F2D"/>
    <w:rsid w:val="001F2D3D"/>
    <w:rsid w:val="001F74EB"/>
    <w:rsid w:val="00205872"/>
    <w:rsid w:val="0020720F"/>
    <w:rsid w:val="00207B94"/>
    <w:rsid w:val="00212B32"/>
    <w:rsid w:val="00213EC3"/>
    <w:rsid w:val="00215852"/>
    <w:rsid w:val="00221974"/>
    <w:rsid w:val="00222E74"/>
    <w:rsid w:val="00230A33"/>
    <w:rsid w:val="00231E50"/>
    <w:rsid w:val="00236FAC"/>
    <w:rsid w:val="00241405"/>
    <w:rsid w:val="002421B2"/>
    <w:rsid w:val="002435B4"/>
    <w:rsid w:val="00243A75"/>
    <w:rsid w:val="00246C63"/>
    <w:rsid w:val="00247C31"/>
    <w:rsid w:val="00250BFA"/>
    <w:rsid w:val="00252812"/>
    <w:rsid w:val="00253C0C"/>
    <w:rsid w:val="002567AC"/>
    <w:rsid w:val="00262BEE"/>
    <w:rsid w:val="00265731"/>
    <w:rsid w:val="0026628C"/>
    <w:rsid w:val="002751EC"/>
    <w:rsid w:val="00276D9D"/>
    <w:rsid w:val="00277980"/>
    <w:rsid w:val="00281E56"/>
    <w:rsid w:val="0028299B"/>
    <w:rsid w:val="00284611"/>
    <w:rsid w:val="00284670"/>
    <w:rsid w:val="00285A30"/>
    <w:rsid w:val="0029145B"/>
    <w:rsid w:val="00292063"/>
    <w:rsid w:val="00296DB2"/>
    <w:rsid w:val="002973C7"/>
    <w:rsid w:val="002A3822"/>
    <w:rsid w:val="002A3969"/>
    <w:rsid w:val="002B0332"/>
    <w:rsid w:val="002B1234"/>
    <w:rsid w:val="002B69BE"/>
    <w:rsid w:val="002B7D7B"/>
    <w:rsid w:val="002C3FC1"/>
    <w:rsid w:val="002D0D9B"/>
    <w:rsid w:val="002D140E"/>
    <w:rsid w:val="002D2A5B"/>
    <w:rsid w:val="002D2DE2"/>
    <w:rsid w:val="002D4138"/>
    <w:rsid w:val="002D7DA2"/>
    <w:rsid w:val="002E5663"/>
    <w:rsid w:val="002E5C8A"/>
    <w:rsid w:val="002E6604"/>
    <w:rsid w:val="002F4879"/>
    <w:rsid w:val="0030197E"/>
    <w:rsid w:val="00301EAF"/>
    <w:rsid w:val="0030341B"/>
    <w:rsid w:val="00304102"/>
    <w:rsid w:val="00310429"/>
    <w:rsid w:val="003211CC"/>
    <w:rsid w:val="00324C14"/>
    <w:rsid w:val="00327382"/>
    <w:rsid w:val="003305C3"/>
    <w:rsid w:val="003423B4"/>
    <w:rsid w:val="0035230E"/>
    <w:rsid w:val="00355A29"/>
    <w:rsid w:val="00361AA0"/>
    <w:rsid w:val="00364E96"/>
    <w:rsid w:val="0037162E"/>
    <w:rsid w:val="00374687"/>
    <w:rsid w:val="003769AA"/>
    <w:rsid w:val="00380255"/>
    <w:rsid w:val="00382413"/>
    <w:rsid w:val="003827D5"/>
    <w:rsid w:val="00385B9A"/>
    <w:rsid w:val="00394D93"/>
    <w:rsid w:val="00396D8A"/>
    <w:rsid w:val="00397CD9"/>
    <w:rsid w:val="003A2DBB"/>
    <w:rsid w:val="003A320E"/>
    <w:rsid w:val="003A4240"/>
    <w:rsid w:val="003A4892"/>
    <w:rsid w:val="003A5F60"/>
    <w:rsid w:val="003A706C"/>
    <w:rsid w:val="003B0D16"/>
    <w:rsid w:val="003C09C6"/>
    <w:rsid w:val="003C297E"/>
    <w:rsid w:val="003C35F4"/>
    <w:rsid w:val="003C447E"/>
    <w:rsid w:val="003C4870"/>
    <w:rsid w:val="003C76CC"/>
    <w:rsid w:val="003F0936"/>
    <w:rsid w:val="00400536"/>
    <w:rsid w:val="00401392"/>
    <w:rsid w:val="004068E3"/>
    <w:rsid w:val="00411A2E"/>
    <w:rsid w:val="00412E42"/>
    <w:rsid w:val="004146D3"/>
    <w:rsid w:val="0041654A"/>
    <w:rsid w:val="00420061"/>
    <w:rsid w:val="0042050D"/>
    <w:rsid w:val="00423C25"/>
    <w:rsid w:val="00423E5B"/>
    <w:rsid w:val="004363E0"/>
    <w:rsid w:val="00441886"/>
    <w:rsid w:val="00450C87"/>
    <w:rsid w:val="0045404D"/>
    <w:rsid w:val="00454FEB"/>
    <w:rsid w:val="00462076"/>
    <w:rsid w:val="00463C5B"/>
    <w:rsid w:val="00465A73"/>
    <w:rsid w:val="00466C6E"/>
    <w:rsid w:val="00470217"/>
    <w:rsid w:val="00473276"/>
    <w:rsid w:val="00474560"/>
    <w:rsid w:val="0048099B"/>
    <w:rsid w:val="00494A0F"/>
    <w:rsid w:val="00497B3D"/>
    <w:rsid w:val="00497F2D"/>
    <w:rsid w:val="004A00C5"/>
    <w:rsid w:val="004A5ACC"/>
    <w:rsid w:val="004B045B"/>
    <w:rsid w:val="004B0673"/>
    <w:rsid w:val="004B0D1E"/>
    <w:rsid w:val="004B1EA9"/>
    <w:rsid w:val="004B1FA2"/>
    <w:rsid w:val="004B7344"/>
    <w:rsid w:val="004C2FDE"/>
    <w:rsid w:val="004C31DF"/>
    <w:rsid w:val="004D2F37"/>
    <w:rsid w:val="004D3453"/>
    <w:rsid w:val="004D4043"/>
    <w:rsid w:val="004D7CFF"/>
    <w:rsid w:val="004E0CD6"/>
    <w:rsid w:val="004E2964"/>
    <w:rsid w:val="004E6F01"/>
    <w:rsid w:val="004E79B7"/>
    <w:rsid w:val="004F05CA"/>
    <w:rsid w:val="00500A90"/>
    <w:rsid w:val="00504BE5"/>
    <w:rsid w:val="005104BB"/>
    <w:rsid w:val="00511612"/>
    <w:rsid w:val="0052078F"/>
    <w:rsid w:val="00522ECF"/>
    <w:rsid w:val="00523732"/>
    <w:rsid w:val="00526188"/>
    <w:rsid w:val="00526DB1"/>
    <w:rsid w:val="00530123"/>
    <w:rsid w:val="00530A8D"/>
    <w:rsid w:val="005412B6"/>
    <w:rsid w:val="00561BBE"/>
    <w:rsid w:val="005624DE"/>
    <w:rsid w:val="005679EC"/>
    <w:rsid w:val="005679FA"/>
    <w:rsid w:val="00567BDA"/>
    <w:rsid w:val="00570CC6"/>
    <w:rsid w:val="00573F7D"/>
    <w:rsid w:val="00574816"/>
    <w:rsid w:val="005748AC"/>
    <w:rsid w:val="00574CB0"/>
    <w:rsid w:val="00576FDD"/>
    <w:rsid w:val="005838B6"/>
    <w:rsid w:val="00583A57"/>
    <w:rsid w:val="00584C0E"/>
    <w:rsid w:val="00591051"/>
    <w:rsid w:val="0059311C"/>
    <w:rsid w:val="00594F76"/>
    <w:rsid w:val="00595E96"/>
    <w:rsid w:val="00597961"/>
    <w:rsid w:val="005A2382"/>
    <w:rsid w:val="005A2970"/>
    <w:rsid w:val="005A442B"/>
    <w:rsid w:val="005A540B"/>
    <w:rsid w:val="005A569E"/>
    <w:rsid w:val="005A5F1B"/>
    <w:rsid w:val="005A6D80"/>
    <w:rsid w:val="005A7C84"/>
    <w:rsid w:val="005B2C73"/>
    <w:rsid w:val="005B45C2"/>
    <w:rsid w:val="005C0A7C"/>
    <w:rsid w:val="005C5478"/>
    <w:rsid w:val="005C5C8F"/>
    <w:rsid w:val="005D5A36"/>
    <w:rsid w:val="005D68FF"/>
    <w:rsid w:val="005E0593"/>
    <w:rsid w:val="005E1AFD"/>
    <w:rsid w:val="005E697D"/>
    <w:rsid w:val="005F596C"/>
    <w:rsid w:val="005F7FDE"/>
    <w:rsid w:val="00602A99"/>
    <w:rsid w:val="00603159"/>
    <w:rsid w:val="00615688"/>
    <w:rsid w:val="00617243"/>
    <w:rsid w:val="00620DCE"/>
    <w:rsid w:val="00624883"/>
    <w:rsid w:val="00627F81"/>
    <w:rsid w:val="006326EF"/>
    <w:rsid w:val="006331F2"/>
    <w:rsid w:val="006346D5"/>
    <w:rsid w:val="006406C4"/>
    <w:rsid w:val="006434E1"/>
    <w:rsid w:val="00646E7E"/>
    <w:rsid w:val="0065125B"/>
    <w:rsid w:val="0065699B"/>
    <w:rsid w:val="00660941"/>
    <w:rsid w:val="00663882"/>
    <w:rsid w:val="00664838"/>
    <w:rsid w:val="00665FE1"/>
    <w:rsid w:val="00667127"/>
    <w:rsid w:val="00667AE0"/>
    <w:rsid w:val="00670298"/>
    <w:rsid w:val="00672EBE"/>
    <w:rsid w:val="0067786C"/>
    <w:rsid w:val="00680E80"/>
    <w:rsid w:val="00683652"/>
    <w:rsid w:val="006837C9"/>
    <w:rsid w:val="00684C24"/>
    <w:rsid w:val="00686A61"/>
    <w:rsid w:val="006911B1"/>
    <w:rsid w:val="0069446C"/>
    <w:rsid w:val="0069490F"/>
    <w:rsid w:val="0069506C"/>
    <w:rsid w:val="00695194"/>
    <w:rsid w:val="006953B9"/>
    <w:rsid w:val="006A0442"/>
    <w:rsid w:val="006A1275"/>
    <w:rsid w:val="006B0BA5"/>
    <w:rsid w:val="006B4056"/>
    <w:rsid w:val="006B44D2"/>
    <w:rsid w:val="006B55C7"/>
    <w:rsid w:val="006C1879"/>
    <w:rsid w:val="006C1F0A"/>
    <w:rsid w:val="006C541C"/>
    <w:rsid w:val="006D0C3E"/>
    <w:rsid w:val="006D4812"/>
    <w:rsid w:val="006E01C6"/>
    <w:rsid w:val="006E276A"/>
    <w:rsid w:val="006E702D"/>
    <w:rsid w:val="006F07E7"/>
    <w:rsid w:val="006F2CC1"/>
    <w:rsid w:val="006F3195"/>
    <w:rsid w:val="006F56C3"/>
    <w:rsid w:val="006F6D1F"/>
    <w:rsid w:val="00701AC0"/>
    <w:rsid w:val="00701F27"/>
    <w:rsid w:val="007020D8"/>
    <w:rsid w:val="007037DC"/>
    <w:rsid w:val="00703A8D"/>
    <w:rsid w:val="00703EAB"/>
    <w:rsid w:val="00704C5F"/>
    <w:rsid w:val="007050A4"/>
    <w:rsid w:val="00707071"/>
    <w:rsid w:val="00707800"/>
    <w:rsid w:val="0071062F"/>
    <w:rsid w:val="007117EE"/>
    <w:rsid w:val="007123AB"/>
    <w:rsid w:val="00713B10"/>
    <w:rsid w:val="00723C59"/>
    <w:rsid w:val="007251FA"/>
    <w:rsid w:val="00725235"/>
    <w:rsid w:val="00727D40"/>
    <w:rsid w:val="00732A36"/>
    <w:rsid w:val="007337B0"/>
    <w:rsid w:val="00735D43"/>
    <w:rsid w:val="0073678E"/>
    <w:rsid w:val="00737199"/>
    <w:rsid w:val="00740409"/>
    <w:rsid w:val="007437C0"/>
    <w:rsid w:val="007503F2"/>
    <w:rsid w:val="007507AA"/>
    <w:rsid w:val="007511D0"/>
    <w:rsid w:val="0075472C"/>
    <w:rsid w:val="0076053D"/>
    <w:rsid w:val="00760EF6"/>
    <w:rsid w:val="00762BC3"/>
    <w:rsid w:val="007674F8"/>
    <w:rsid w:val="0076789C"/>
    <w:rsid w:val="00770BA6"/>
    <w:rsid w:val="007746F5"/>
    <w:rsid w:val="00775206"/>
    <w:rsid w:val="00780854"/>
    <w:rsid w:val="0078154E"/>
    <w:rsid w:val="007856EF"/>
    <w:rsid w:val="00786006"/>
    <w:rsid w:val="00786B2A"/>
    <w:rsid w:val="00787EFA"/>
    <w:rsid w:val="00794E37"/>
    <w:rsid w:val="007A091A"/>
    <w:rsid w:val="007A507C"/>
    <w:rsid w:val="007A63E6"/>
    <w:rsid w:val="007B05C6"/>
    <w:rsid w:val="007C0F3B"/>
    <w:rsid w:val="007C2645"/>
    <w:rsid w:val="007C3904"/>
    <w:rsid w:val="007C6C83"/>
    <w:rsid w:val="007C7D01"/>
    <w:rsid w:val="007D1F23"/>
    <w:rsid w:val="007D2E5E"/>
    <w:rsid w:val="007D5A5E"/>
    <w:rsid w:val="007D7A37"/>
    <w:rsid w:val="007E1422"/>
    <w:rsid w:val="007E1E7E"/>
    <w:rsid w:val="007E2310"/>
    <w:rsid w:val="007E260C"/>
    <w:rsid w:val="007E2F92"/>
    <w:rsid w:val="007E4D75"/>
    <w:rsid w:val="007E4F23"/>
    <w:rsid w:val="007E5CE4"/>
    <w:rsid w:val="007F038B"/>
    <w:rsid w:val="007F066F"/>
    <w:rsid w:val="007F267A"/>
    <w:rsid w:val="008017AE"/>
    <w:rsid w:val="0080230F"/>
    <w:rsid w:val="00802F14"/>
    <w:rsid w:val="008049C3"/>
    <w:rsid w:val="00804DED"/>
    <w:rsid w:val="0080550E"/>
    <w:rsid w:val="008058EA"/>
    <w:rsid w:val="00807A49"/>
    <w:rsid w:val="00810472"/>
    <w:rsid w:val="00814151"/>
    <w:rsid w:val="00815EE3"/>
    <w:rsid w:val="008174CC"/>
    <w:rsid w:val="00820397"/>
    <w:rsid w:val="008260E9"/>
    <w:rsid w:val="008274D1"/>
    <w:rsid w:val="00830A75"/>
    <w:rsid w:val="00834416"/>
    <w:rsid w:val="0083564E"/>
    <w:rsid w:val="0083677A"/>
    <w:rsid w:val="008377BA"/>
    <w:rsid w:val="008417E7"/>
    <w:rsid w:val="00842F8E"/>
    <w:rsid w:val="00845295"/>
    <w:rsid w:val="0084615A"/>
    <w:rsid w:val="0084650C"/>
    <w:rsid w:val="008523F4"/>
    <w:rsid w:val="00856E4F"/>
    <w:rsid w:val="00857600"/>
    <w:rsid w:val="00860017"/>
    <w:rsid w:val="00862D9D"/>
    <w:rsid w:val="0086466D"/>
    <w:rsid w:val="00865828"/>
    <w:rsid w:val="00866360"/>
    <w:rsid w:val="008751EA"/>
    <w:rsid w:val="00880675"/>
    <w:rsid w:val="00884720"/>
    <w:rsid w:val="00886A80"/>
    <w:rsid w:val="0088751C"/>
    <w:rsid w:val="0089131F"/>
    <w:rsid w:val="00892219"/>
    <w:rsid w:val="00896432"/>
    <w:rsid w:val="008A24D7"/>
    <w:rsid w:val="008A2769"/>
    <w:rsid w:val="008A566E"/>
    <w:rsid w:val="008B5057"/>
    <w:rsid w:val="008C05B2"/>
    <w:rsid w:val="008C31F0"/>
    <w:rsid w:val="008C4DDE"/>
    <w:rsid w:val="008C708F"/>
    <w:rsid w:val="008D452D"/>
    <w:rsid w:val="008D6211"/>
    <w:rsid w:val="008D797A"/>
    <w:rsid w:val="008D7F10"/>
    <w:rsid w:val="008E018B"/>
    <w:rsid w:val="008E0F50"/>
    <w:rsid w:val="008E5A6A"/>
    <w:rsid w:val="008E62D3"/>
    <w:rsid w:val="008E7EE8"/>
    <w:rsid w:val="008F2BA7"/>
    <w:rsid w:val="008F7808"/>
    <w:rsid w:val="009002B5"/>
    <w:rsid w:val="00900991"/>
    <w:rsid w:val="0090123E"/>
    <w:rsid w:val="009025E9"/>
    <w:rsid w:val="0090364E"/>
    <w:rsid w:val="00913C9D"/>
    <w:rsid w:val="0091625B"/>
    <w:rsid w:val="009211CC"/>
    <w:rsid w:val="00932FE0"/>
    <w:rsid w:val="009476A8"/>
    <w:rsid w:val="00950C0A"/>
    <w:rsid w:val="0095152E"/>
    <w:rsid w:val="00954DBC"/>
    <w:rsid w:val="009616F8"/>
    <w:rsid w:val="00964126"/>
    <w:rsid w:val="009650C7"/>
    <w:rsid w:val="00972B63"/>
    <w:rsid w:val="009810B0"/>
    <w:rsid w:val="00983779"/>
    <w:rsid w:val="0098720E"/>
    <w:rsid w:val="009900C4"/>
    <w:rsid w:val="0099294B"/>
    <w:rsid w:val="00993053"/>
    <w:rsid w:val="009930D9"/>
    <w:rsid w:val="00995EB4"/>
    <w:rsid w:val="00995F09"/>
    <w:rsid w:val="00996548"/>
    <w:rsid w:val="009968F4"/>
    <w:rsid w:val="00996FEC"/>
    <w:rsid w:val="009979EC"/>
    <w:rsid w:val="009A6ADD"/>
    <w:rsid w:val="009B1293"/>
    <w:rsid w:val="009B43D5"/>
    <w:rsid w:val="009C161D"/>
    <w:rsid w:val="009C6647"/>
    <w:rsid w:val="009C67D4"/>
    <w:rsid w:val="009C7625"/>
    <w:rsid w:val="009D2753"/>
    <w:rsid w:val="009D2F2A"/>
    <w:rsid w:val="009D710D"/>
    <w:rsid w:val="009E0B9D"/>
    <w:rsid w:val="009E3AAE"/>
    <w:rsid w:val="009F2847"/>
    <w:rsid w:val="009F5B05"/>
    <w:rsid w:val="009F6CB4"/>
    <w:rsid w:val="009F7BF1"/>
    <w:rsid w:val="00A021CE"/>
    <w:rsid w:val="00A048B1"/>
    <w:rsid w:val="00A13727"/>
    <w:rsid w:val="00A15AC1"/>
    <w:rsid w:val="00A16781"/>
    <w:rsid w:val="00A22006"/>
    <w:rsid w:val="00A26EAD"/>
    <w:rsid w:val="00A32F6A"/>
    <w:rsid w:val="00A34F4E"/>
    <w:rsid w:val="00A36749"/>
    <w:rsid w:val="00A36803"/>
    <w:rsid w:val="00A3736C"/>
    <w:rsid w:val="00A37AF3"/>
    <w:rsid w:val="00A45D02"/>
    <w:rsid w:val="00A531D5"/>
    <w:rsid w:val="00A54648"/>
    <w:rsid w:val="00A6043A"/>
    <w:rsid w:val="00A611CF"/>
    <w:rsid w:val="00A62CCB"/>
    <w:rsid w:val="00A659A4"/>
    <w:rsid w:val="00A673CE"/>
    <w:rsid w:val="00A71C1C"/>
    <w:rsid w:val="00A74440"/>
    <w:rsid w:val="00A747AB"/>
    <w:rsid w:val="00A805DF"/>
    <w:rsid w:val="00A83CB2"/>
    <w:rsid w:val="00A94B70"/>
    <w:rsid w:val="00AA14B7"/>
    <w:rsid w:val="00AA512C"/>
    <w:rsid w:val="00AA78EA"/>
    <w:rsid w:val="00AC1077"/>
    <w:rsid w:val="00AC1294"/>
    <w:rsid w:val="00AC5193"/>
    <w:rsid w:val="00AC59B1"/>
    <w:rsid w:val="00AD10AB"/>
    <w:rsid w:val="00AD28B2"/>
    <w:rsid w:val="00AD35B2"/>
    <w:rsid w:val="00AD6555"/>
    <w:rsid w:val="00AD6E34"/>
    <w:rsid w:val="00AE3182"/>
    <w:rsid w:val="00AE5693"/>
    <w:rsid w:val="00AE66D7"/>
    <w:rsid w:val="00AE7301"/>
    <w:rsid w:val="00AF4325"/>
    <w:rsid w:val="00AF7271"/>
    <w:rsid w:val="00B028AD"/>
    <w:rsid w:val="00B11FB5"/>
    <w:rsid w:val="00B177BF"/>
    <w:rsid w:val="00B17A8C"/>
    <w:rsid w:val="00B21B3C"/>
    <w:rsid w:val="00B24816"/>
    <w:rsid w:val="00B24ECD"/>
    <w:rsid w:val="00B251A0"/>
    <w:rsid w:val="00B25869"/>
    <w:rsid w:val="00B265C1"/>
    <w:rsid w:val="00B40ED4"/>
    <w:rsid w:val="00B454F6"/>
    <w:rsid w:val="00B57D95"/>
    <w:rsid w:val="00B65B13"/>
    <w:rsid w:val="00B66FF9"/>
    <w:rsid w:val="00B67E8C"/>
    <w:rsid w:val="00B712DA"/>
    <w:rsid w:val="00B71FCA"/>
    <w:rsid w:val="00B72AEC"/>
    <w:rsid w:val="00B762AC"/>
    <w:rsid w:val="00B80FEA"/>
    <w:rsid w:val="00B863C3"/>
    <w:rsid w:val="00B92A13"/>
    <w:rsid w:val="00B95957"/>
    <w:rsid w:val="00BA0C9B"/>
    <w:rsid w:val="00BA1E49"/>
    <w:rsid w:val="00BA45E9"/>
    <w:rsid w:val="00BA6D46"/>
    <w:rsid w:val="00BA736E"/>
    <w:rsid w:val="00BA7394"/>
    <w:rsid w:val="00BB195C"/>
    <w:rsid w:val="00BB265B"/>
    <w:rsid w:val="00BB5050"/>
    <w:rsid w:val="00BB7B26"/>
    <w:rsid w:val="00BC6308"/>
    <w:rsid w:val="00BC7259"/>
    <w:rsid w:val="00BD10DA"/>
    <w:rsid w:val="00BD3FFE"/>
    <w:rsid w:val="00BD4083"/>
    <w:rsid w:val="00BD41A7"/>
    <w:rsid w:val="00BD5C7C"/>
    <w:rsid w:val="00BD5FAA"/>
    <w:rsid w:val="00BE3AB4"/>
    <w:rsid w:val="00BF0E0F"/>
    <w:rsid w:val="00BF12C5"/>
    <w:rsid w:val="00BF34D8"/>
    <w:rsid w:val="00BF4B4C"/>
    <w:rsid w:val="00BF5AD9"/>
    <w:rsid w:val="00C008C4"/>
    <w:rsid w:val="00C02142"/>
    <w:rsid w:val="00C0423B"/>
    <w:rsid w:val="00C07430"/>
    <w:rsid w:val="00C07631"/>
    <w:rsid w:val="00C07D01"/>
    <w:rsid w:val="00C10673"/>
    <w:rsid w:val="00C12F3C"/>
    <w:rsid w:val="00C21D8E"/>
    <w:rsid w:val="00C22959"/>
    <w:rsid w:val="00C25E19"/>
    <w:rsid w:val="00C25E9B"/>
    <w:rsid w:val="00C3075E"/>
    <w:rsid w:val="00C31BD2"/>
    <w:rsid w:val="00C3204C"/>
    <w:rsid w:val="00C32F7D"/>
    <w:rsid w:val="00C33A3F"/>
    <w:rsid w:val="00C3648B"/>
    <w:rsid w:val="00C45092"/>
    <w:rsid w:val="00C45D09"/>
    <w:rsid w:val="00C46C70"/>
    <w:rsid w:val="00C4778C"/>
    <w:rsid w:val="00C52083"/>
    <w:rsid w:val="00C529EC"/>
    <w:rsid w:val="00C53E37"/>
    <w:rsid w:val="00C55CC3"/>
    <w:rsid w:val="00C6003F"/>
    <w:rsid w:val="00C60F5A"/>
    <w:rsid w:val="00C63D1E"/>
    <w:rsid w:val="00C66723"/>
    <w:rsid w:val="00C703C4"/>
    <w:rsid w:val="00C737E8"/>
    <w:rsid w:val="00C76CEE"/>
    <w:rsid w:val="00C8425B"/>
    <w:rsid w:val="00C84738"/>
    <w:rsid w:val="00C848DB"/>
    <w:rsid w:val="00C9332D"/>
    <w:rsid w:val="00C93917"/>
    <w:rsid w:val="00C9594C"/>
    <w:rsid w:val="00CA21D1"/>
    <w:rsid w:val="00CA250F"/>
    <w:rsid w:val="00CA34AD"/>
    <w:rsid w:val="00CA4EC8"/>
    <w:rsid w:val="00CB05D0"/>
    <w:rsid w:val="00CB0812"/>
    <w:rsid w:val="00CB6F72"/>
    <w:rsid w:val="00CB7722"/>
    <w:rsid w:val="00CC43D3"/>
    <w:rsid w:val="00CC7EA2"/>
    <w:rsid w:val="00CD1E46"/>
    <w:rsid w:val="00CD272B"/>
    <w:rsid w:val="00CD36F0"/>
    <w:rsid w:val="00CD4E58"/>
    <w:rsid w:val="00CD7DBA"/>
    <w:rsid w:val="00CE0A7E"/>
    <w:rsid w:val="00CE125E"/>
    <w:rsid w:val="00CF00AB"/>
    <w:rsid w:val="00CF125D"/>
    <w:rsid w:val="00CF4C25"/>
    <w:rsid w:val="00CF562B"/>
    <w:rsid w:val="00CF72B0"/>
    <w:rsid w:val="00D0207E"/>
    <w:rsid w:val="00D03313"/>
    <w:rsid w:val="00D03A1D"/>
    <w:rsid w:val="00D0413E"/>
    <w:rsid w:val="00D07B69"/>
    <w:rsid w:val="00D119E4"/>
    <w:rsid w:val="00D13AF6"/>
    <w:rsid w:val="00D15121"/>
    <w:rsid w:val="00D15A40"/>
    <w:rsid w:val="00D20005"/>
    <w:rsid w:val="00D20107"/>
    <w:rsid w:val="00D25B9E"/>
    <w:rsid w:val="00D27D9E"/>
    <w:rsid w:val="00D312A6"/>
    <w:rsid w:val="00D31582"/>
    <w:rsid w:val="00D41FE8"/>
    <w:rsid w:val="00D42CAA"/>
    <w:rsid w:val="00D43910"/>
    <w:rsid w:val="00D463B8"/>
    <w:rsid w:val="00D465DE"/>
    <w:rsid w:val="00D471EB"/>
    <w:rsid w:val="00D47671"/>
    <w:rsid w:val="00D50E2B"/>
    <w:rsid w:val="00D51AAB"/>
    <w:rsid w:val="00D55EB5"/>
    <w:rsid w:val="00D60990"/>
    <w:rsid w:val="00D60CCF"/>
    <w:rsid w:val="00D61056"/>
    <w:rsid w:val="00D62848"/>
    <w:rsid w:val="00D644D6"/>
    <w:rsid w:val="00D70E50"/>
    <w:rsid w:val="00D70F7E"/>
    <w:rsid w:val="00D72739"/>
    <w:rsid w:val="00D72C74"/>
    <w:rsid w:val="00D84AB1"/>
    <w:rsid w:val="00D910CB"/>
    <w:rsid w:val="00DA02BB"/>
    <w:rsid w:val="00DA2890"/>
    <w:rsid w:val="00DA5400"/>
    <w:rsid w:val="00DB0171"/>
    <w:rsid w:val="00DB2BDA"/>
    <w:rsid w:val="00DB4F52"/>
    <w:rsid w:val="00DB5BDB"/>
    <w:rsid w:val="00DC15B3"/>
    <w:rsid w:val="00DC4062"/>
    <w:rsid w:val="00DC7329"/>
    <w:rsid w:val="00DC7DAF"/>
    <w:rsid w:val="00DD1D1D"/>
    <w:rsid w:val="00DD28B1"/>
    <w:rsid w:val="00DD4045"/>
    <w:rsid w:val="00DD4AC9"/>
    <w:rsid w:val="00DD4B5E"/>
    <w:rsid w:val="00DD5AEF"/>
    <w:rsid w:val="00DD70D6"/>
    <w:rsid w:val="00DD748E"/>
    <w:rsid w:val="00DD7709"/>
    <w:rsid w:val="00DD7F6A"/>
    <w:rsid w:val="00DE31F1"/>
    <w:rsid w:val="00DE4F43"/>
    <w:rsid w:val="00DE7DD5"/>
    <w:rsid w:val="00DF0590"/>
    <w:rsid w:val="00DF0BF4"/>
    <w:rsid w:val="00DF3A5B"/>
    <w:rsid w:val="00DF449A"/>
    <w:rsid w:val="00DF7D72"/>
    <w:rsid w:val="00DF7D9E"/>
    <w:rsid w:val="00DF7E04"/>
    <w:rsid w:val="00E016F6"/>
    <w:rsid w:val="00E01854"/>
    <w:rsid w:val="00E157EC"/>
    <w:rsid w:val="00E171AF"/>
    <w:rsid w:val="00E17E0D"/>
    <w:rsid w:val="00E17EDC"/>
    <w:rsid w:val="00E2175D"/>
    <w:rsid w:val="00E2433B"/>
    <w:rsid w:val="00E306F1"/>
    <w:rsid w:val="00E31C6C"/>
    <w:rsid w:val="00E3245D"/>
    <w:rsid w:val="00E33644"/>
    <w:rsid w:val="00E37052"/>
    <w:rsid w:val="00E37A12"/>
    <w:rsid w:val="00E453DE"/>
    <w:rsid w:val="00E45BFB"/>
    <w:rsid w:val="00E4628F"/>
    <w:rsid w:val="00E523D8"/>
    <w:rsid w:val="00E56045"/>
    <w:rsid w:val="00E746B3"/>
    <w:rsid w:val="00E75949"/>
    <w:rsid w:val="00E75F03"/>
    <w:rsid w:val="00E761A0"/>
    <w:rsid w:val="00E776F1"/>
    <w:rsid w:val="00E80C05"/>
    <w:rsid w:val="00E82B4E"/>
    <w:rsid w:val="00E83916"/>
    <w:rsid w:val="00E83D93"/>
    <w:rsid w:val="00E86D63"/>
    <w:rsid w:val="00E86FED"/>
    <w:rsid w:val="00E91046"/>
    <w:rsid w:val="00E9492B"/>
    <w:rsid w:val="00E96C43"/>
    <w:rsid w:val="00E97264"/>
    <w:rsid w:val="00EB019A"/>
    <w:rsid w:val="00EB3180"/>
    <w:rsid w:val="00EB41B1"/>
    <w:rsid w:val="00EB6771"/>
    <w:rsid w:val="00EB7A1D"/>
    <w:rsid w:val="00EC3889"/>
    <w:rsid w:val="00ED1AF7"/>
    <w:rsid w:val="00ED47F2"/>
    <w:rsid w:val="00ED4D13"/>
    <w:rsid w:val="00ED70F8"/>
    <w:rsid w:val="00EF14A6"/>
    <w:rsid w:val="00EF3B4B"/>
    <w:rsid w:val="00EF729F"/>
    <w:rsid w:val="00EF742A"/>
    <w:rsid w:val="00EF7B88"/>
    <w:rsid w:val="00F006A6"/>
    <w:rsid w:val="00F013AC"/>
    <w:rsid w:val="00F04573"/>
    <w:rsid w:val="00F125AE"/>
    <w:rsid w:val="00F137C2"/>
    <w:rsid w:val="00F17803"/>
    <w:rsid w:val="00F20D40"/>
    <w:rsid w:val="00F20D8F"/>
    <w:rsid w:val="00F27AE0"/>
    <w:rsid w:val="00F31A4E"/>
    <w:rsid w:val="00F356B4"/>
    <w:rsid w:val="00F36393"/>
    <w:rsid w:val="00F367EB"/>
    <w:rsid w:val="00F41116"/>
    <w:rsid w:val="00F43C51"/>
    <w:rsid w:val="00F4411A"/>
    <w:rsid w:val="00F46AE0"/>
    <w:rsid w:val="00F46C71"/>
    <w:rsid w:val="00F475CC"/>
    <w:rsid w:val="00F5217C"/>
    <w:rsid w:val="00F52D38"/>
    <w:rsid w:val="00F55A9D"/>
    <w:rsid w:val="00F66580"/>
    <w:rsid w:val="00F6749F"/>
    <w:rsid w:val="00F75227"/>
    <w:rsid w:val="00F80460"/>
    <w:rsid w:val="00F853D4"/>
    <w:rsid w:val="00F86EAA"/>
    <w:rsid w:val="00F8739E"/>
    <w:rsid w:val="00F918E2"/>
    <w:rsid w:val="00F92B2D"/>
    <w:rsid w:val="00FA0330"/>
    <w:rsid w:val="00FA3789"/>
    <w:rsid w:val="00FA3E7D"/>
    <w:rsid w:val="00FA484A"/>
    <w:rsid w:val="00FA5850"/>
    <w:rsid w:val="00FA59C1"/>
    <w:rsid w:val="00FA5E3B"/>
    <w:rsid w:val="00FB0012"/>
    <w:rsid w:val="00FB07E1"/>
    <w:rsid w:val="00FB4F79"/>
    <w:rsid w:val="00FB5266"/>
    <w:rsid w:val="00FC0B04"/>
    <w:rsid w:val="00FC4785"/>
    <w:rsid w:val="00FD522C"/>
    <w:rsid w:val="00FD7D27"/>
    <w:rsid w:val="00FE0679"/>
    <w:rsid w:val="00FE1829"/>
    <w:rsid w:val="00FE20D2"/>
    <w:rsid w:val="00FE28E2"/>
    <w:rsid w:val="00FE71A1"/>
    <w:rsid w:val="00FF2261"/>
    <w:rsid w:val="00FF558F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7F17"/>
  <w15:docId w15:val="{073F5654-7A20-ED45-97E2-07BC86FD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37"/>
  </w:style>
  <w:style w:type="paragraph" w:styleId="1">
    <w:name w:val="heading 1"/>
    <w:basedOn w:val="a"/>
    <w:next w:val="a"/>
    <w:link w:val="10"/>
    <w:uiPriority w:val="9"/>
    <w:qFormat/>
    <w:rsid w:val="00420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7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A7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14B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C708F"/>
    <w:rPr>
      <w:color w:val="0000FF" w:themeColor="hyperlink"/>
      <w:u w:val="single"/>
    </w:rPr>
  </w:style>
  <w:style w:type="character" w:customStyle="1" w:styleId="data">
    <w:name w:val="data"/>
    <w:basedOn w:val="a0"/>
    <w:rsid w:val="008C708F"/>
  </w:style>
  <w:style w:type="paragraph" w:styleId="a6">
    <w:name w:val="Balloon Text"/>
    <w:basedOn w:val="a"/>
    <w:link w:val="a7"/>
    <w:uiPriority w:val="99"/>
    <w:semiHidden/>
    <w:unhideWhenUsed/>
    <w:rsid w:val="008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8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C708F"/>
    <w:rPr>
      <w:b/>
      <w:bCs/>
    </w:rPr>
  </w:style>
  <w:style w:type="character" w:customStyle="1" w:styleId="resp">
    <w:name w:val="resp"/>
    <w:basedOn w:val="a0"/>
    <w:rsid w:val="008C708F"/>
  </w:style>
  <w:style w:type="character" w:customStyle="1" w:styleId="firm">
    <w:name w:val="firm"/>
    <w:basedOn w:val="a0"/>
    <w:rsid w:val="008C708F"/>
  </w:style>
  <w:style w:type="character" w:customStyle="1" w:styleId="dark">
    <w:name w:val="dark"/>
    <w:basedOn w:val="a0"/>
    <w:rsid w:val="008C708F"/>
  </w:style>
  <w:style w:type="character" w:customStyle="1" w:styleId="text">
    <w:name w:val="text"/>
    <w:basedOn w:val="a0"/>
    <w:rsid w:val="008C708F"/>
  </w:style>
  <w:style w:type="character" w:customStyle="1" w:styleId="apple-converted-space">
    <w:name w:val="apple-converted-space"/>
    <w:basedOn w:val="a0"/>
    <w:rsid w:val="008C708F"/>
  </w:style>
  <w:style w:type="character" w:styleId="a9">
    <w:name w:val="FollowedHyperlink"/>
    <w:basedOn w:val="a0"/>
    <w:uiPriority w:val="99"/>
    <w:semiHidden/>
    <w:unhideWhenUsed/>
    <w:rsid w:val="00AE730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D2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2A5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2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2A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2A5B"/>
    <w:rPr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6911B1"/>
    <w:rPr>
      <w:i/>
      <w:iCs/>
    </w:rPr>
  </w:style>
  <w:style w:type="paragraph" w:styleId="af0">
    <w:name w:val="footer"/>
    <w:basedOn w:val="a"/>
    <w:link w:val="af1"/>
    <w:uiPriority w:val="99"/>
    <w:unhideWhenUsed/>
    <w:rsid w:val="005A442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A442B"/>
    <w:rPr>
      <w:rFonts w:eastAsiaTheme="minorEastAsia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5A442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A442B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A442B"/>
    <w:rPr>
      <w:vertAlign w:val="superscript"/>
    </w:rPr>
  </w:style>
  <w:style w:type="character" w:customStyle="1" w:styleId="m-6854450559450111258apple-converted-space">
    <w:name w:val="m_-6854450559450111258apple-converted-space"/>
    <w:basedOn w:val="a0"/>
    <w:rsid w:val="004E6F01"/>
  </w:style>
  <w:style w:type="character" w:customStyle="1" w:styleId="m4852371289171525887msoendnotereference">
    <w:name w:val="m_4852371289171525887msoendnotereference"/>
    <w:basedOn w:val="a0"/>
    <w:rsid w:val="005A7C84"/>
  </w:style>
  <w:style w:type="character" w:customStyle="1" w:styleId="11">
    <w:name w:val="Неразрешенное упоминание1"/>
    <w:basedOn w:val="a0"/>
    <w:uiPriority w:val="99"/>
    <w:semiHidden/>
    <w:unhideWhenUsed/>
    <w:rsid w:val="00BA1E49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C3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3075E"/>
  </w:style>
  <w:style w:type="paragraph" w:styleId="af7">
    <w:name w:val="List Paragraph"/>
    <w:basedOn w:val="a"/>
    <w:uiPriority w:val="34"/>
    <w:qFormat/>
    <w:rsid w:val="00DD748E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D748E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F41116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41116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F41116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F2BA7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205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uttonbtnvalue16rks">
    <w:name w:val="button_btn__value__16rks"/>
    <w:basedOn w:val="a0"/>
    <w:rsid w:val="00FC4785"/>
  </w:style>
  <w:style w:type="paragraph" w:customStyle="1" w:styleId="listlistitemkn83g">
    <w:name w:val="list_listitem__kn83g"/>
    <w:basedOn w:val="a"/>
    <w:uiPriority w:val="99"/>
    <w:semiHidden/>
    <w:rsid w:val="00277980"/>
    <w:pPr>
      <w:spacing w:before="100" w:beforeAutospacing="1" w:after="100" w:afterAutospacing="1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712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159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922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458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764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99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279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2613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0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34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65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991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21830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2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45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81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178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892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16322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049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4974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573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4534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935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4661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6064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2562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2869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067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492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869304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284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41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626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26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688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031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4249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353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894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886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312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51819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497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55800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1087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33429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462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2160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4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192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11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756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965025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309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4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9628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574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4945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8206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0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7955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30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9519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685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790628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8441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76300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9356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3140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40430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6960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114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74036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2617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9148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1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9033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570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647850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2255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123677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6500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436656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1384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754272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6568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0586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2687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23106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227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85744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628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567081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2722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92163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1869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1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0579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9571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74331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735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641560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5202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17407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4578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2922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197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714359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5535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189286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250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51209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2566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6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850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18786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598355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184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75625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6659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103746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1534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0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931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59641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68903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868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85742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9826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92245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78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432605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9578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93490">
              <w:marLeft w:val="192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219">
                  <w:marLeft w:val="0"/>
                  <w:marRight w:val="0"/>
                  <w:marTop w:val="240"/>
                  <w:marBottom w:val="0"/>
                  <w:divBdr>
                    <w:top w:val="dotted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1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0627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637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6472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463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264152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8296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37851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652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65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396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5606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7044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9092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921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784335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413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889205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5405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9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4942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70996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8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75759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2888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401993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150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912460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7308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24395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0955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192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6609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77251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536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67624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452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61662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5650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3311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2907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9562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345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825244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3889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001349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8642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14998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999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9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7305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156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33073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8625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882083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190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9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7050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6706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98199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0811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889940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462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1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4590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4875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17082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8073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9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6506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040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77468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9199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99062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907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7507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3197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2979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958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8520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749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683556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6107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911691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1597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240408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09768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469">
          <w:marLeft w:val="0"/>
          <w:marRight w:val="0"/>
          <w:marTop w:val="0"/>
          <w:marBottom w:val="0"/>
          <w:divBdr>
            <w:top w:val="single" w:sz="12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893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3064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551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811277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6967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193839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070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069426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5886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060813">
              <w:marLeft w:val="120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203">
                  <w:marLeft w:val="0"/>
                  <w:marRight w:val="0"/>
                  <w:marTop w:val="0"/>
                  <w:marBottom w:val="0"/>
                  <w:divBdr>
                    <w:top w:val="dotted" w:sz="6" w:space="1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213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048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836426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8755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5140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7383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0109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048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3086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836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558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09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5605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424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686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944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15432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27113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482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194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63118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28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1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1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714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817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11168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592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1359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8737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255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662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2233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75196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4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71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1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227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6088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65455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651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49456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6971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682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419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231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0083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9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43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0131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5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781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074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17117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644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53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5892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965017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29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73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05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4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0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189">
          <w:marLeft w:val="12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377">
              <w:marLeft w:val="0"/>
              <w:marRight w:val="0"/>
              <w:marTop w:val="0"/>
              <w:marBottom w:val="0"/>
              <w:divBdr>
                <w:top w:val="dotted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82CD0.5EA375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6142-E835-4D53-B496-0CE2F433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Александр Александрович</dc:creator>
  <cp:lastModifiedBy>Смородская Полина Наилевна</cp:lastModifiedBy>
  <cp:revision>2</cp:revision>
  <cp:lastPrinted>2017-03-29T08:32:00Z</cp:lastPrinted>
  <dcterms:created xsi:type="dcterms:W3CDTF">2022-02-28T15:27:00Z</dcterms:created>
  <dcterms:modified xsi:type="dcterms:W3CDTF">2022-02-28T15:27:00Z</dcterms:modified>
</cp:coreProperties>
</file>