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9" w:rsidRPr="00B54EC6" w:rsidRDefault="0091562C" w:rsidP="00260F49">
      <w:pPr>
        <w:shd w:val="clear" w:color="auto" w:fill="FFFFFF"/>
        <w:spacing w:after="150" w:line="288" w:lineRule="atLeast"/>
        <w:jc w:val="center"/>
        <w:outlineLvl w:val="2"/>
      </w:pPr>
      <w:r w:rsidRPr="00B54EC6">
        <w:t xml:space="preserve">Доллар </w:t>
      </w:r>
      <w:r w:rsidR="00851A58" w:rsidRPr="00B54EC6">
        <w:t>усиливается на переоценке политических рисков</w:t>
      </w:r>
      <w:r w:rsidRPr="00B54EC6">
        <w:t>.</w:t>
      </w:r>
    </w:p>
    <w:p w:rsidR="009F4D24" w:rsidRPr="00B54EC6" w:rsidRDefault="00426D7B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 xml:space="preserve">EUR/USD на прошлой неделе предприняла вторую попытку восстановиться </w:t>
      </w:r>
      <w:r w:rsidR="00B8523D" w:rsidRPr="00B54EC6">
        <w:t>в район</w:t>
      </w:r>
      <w:r w:rsidRPr="00B54EC6">
        <w:t xml:space="preserve"> 1.19, однако попытки выйти из нисходящего канала закончились неудачей. Техническая картина недельного </w:t>
      </w:r>
      <w:proofErr w:type="spellStart"/>
      <w:r w:rsidRPr="00B54EC6">
        <w:t>таймфрейма</w:t>
      </w:r>
      <w:proofErr w:type="spellEnd"/>
      <w:r w:rsidRPr="00B54EC6">
        <w:t xml:space="preserve"> все более явно указывает на формирование разворотной модели «голова/плечи», с вершиной в районе 1.2 и «шеей» чуть ниже 1.17. На дневном </w:t>
      </w:r>
      <w:proofErr w:type="spellStart"/>
      <w:r w:rsidRPr="00B54EC6">
        <w:t>таймфрейме</w:t>
      </w:r>
      <w:proofErr w:type="spellEnd"/>
      <w:r w:rsidRPr="00B54EC6">
        <w:t xml:space="preserve"> неудачные попытки роста сформировали двойную вершину при ложном пробое нисходящего канала с границей по </w:t>
      </w:r>
      <w:r w:rsidR="009F4D24" w:rsidRPr="00B54EC6">
        <w:t>максимумам сентября и октября.</w:t>
      </w:r>
    </w:p>
    <w:p w:rsidR="000316E4" w:rsidRPr="00B54EC6" w:rsidRDefault="00426D7B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>С технической точки зрения р</w:t>
      </w:r>
      <w:r w:rsidR="009F4D24" w:rsidRPr="00B54EC6">
        <w:t>азворот и начало среднесрочного укрепления доллара были давно ожидаемы нами</w:t>
      </w:r>
      <w:r w:rsidR="00B8523D" w:rsidRPr="00B54EC6">
        <w:t xml:space="preserve">– </w:t>
      </w:r>
      <w:r w:rsidR="004B3D59" w:rsidRPr="00B54EC6">
        <w:t>с момента выхода за верхнюю границу среднесрочного диапазона</w:t>
      </w:r>
      <w:r w:rsidR="009F4D24" w:rsidRPr="00B54EC6">
        <w:t>.</w:t>
      </w:r>
      <w:r w:rsidR="004B3D59" w:rsidRPr="00B54EC6">
        <w:t xml:space="preserve"> Мы указывали, что на такой </w:t>
      </w:r>
      <w:proofErr w:type="spellStart"/>
      <w:r w:rsidR="004B3D59" w:rsidRPr="00B54EC6">
        <w:t>перепро</w:t>
      </w:r>
      <w:bookmarkStart w:id="0" w:name="_GoBack"/>
      <w:bookmarkEnd w:id="0"/>
      <w:r w:rsidR="004B3D59" w:rsidRPr="00B54EC6">
        <w:t>данно</w:t>
      </w:r>
      <w:r w:rsidR="00B8523D" w:rsidRPr="00B54EC6">
        <w:t>сти</w:t>
      </w:r>
      <w:proofErr w:type="spellEnd"/>
      <w:r w:rsidR="004B3D59" w:rsidRPr="00B54EC6">
        <w:t xml:space="preserve">, которая наблюдалась в тот </w:t>
      </w:r>
      <w:r w:rsidR="00B8523D" w:rsidRPr="00B54EC6">
        <w:t>момент долларе</w:t>
      </w:r>
      <w:r w:rsidR="004B3D59" w:rsidRPr="00B54EC6">
        <w:t xml:space="preserve">, в отсутствии сильных фундаментальных драйверов и на фоне экстремально бычьего позиционирования </w:t>
      </w:r>
      <w:r w:rsidR="00B8523D" w:rsidRPr="00B54EC6">
        <w:t xml:space="preserve">спекулянтов в </w:t>
      </w:r>
      <w:r w:rsidR="004B3D59" w:rsidRPr="00B54EC6">
        <w:t>евро</w:t>
      </w:r>
      <w:r w:rsidR="00B8523D" w:rsidRPr="00B54EC6">
        <w:t>,</w:t>
      </w:r>
      <w:r w:rsidR="004B3D59" w:rsidRPr="00B54EC6">
        <w:t xml:space="preserve"> дальнейшее ослабление доллара будет сильно затруднено, нужна коррекция.</w:t>
      </w:r>
      <w:r w:rsidR="009F4D24" w:rsidRPr="00B54EC6">
        <w:t xml:space="preserve"> Психологический фактор рынка тоже понятен: на протяжении последнего полугода доллар впитывал в себя любой негатив, игнорируя позитивные новости, евро, напротив, рос на позитивных новостях и ожиданиях того, что ЕЦБ начнет сокращать баланс. Такое эмоциональное поведение рынка стало естественным отторжением доллара после того, как больше двух лет подряд весь аналитический </w:t>
      </w:r>
      <w:proofErr w:type="spellStart"/>
      <w:r w:rsidR="009F4D24" w:rsidRPr="00B54EC6">
        <w:t>мейнстрим</w:t>
      </w:r>
      <w:proofErr w:type="spellEnd"/>
      <w:r w:rsidR="000316E4" w:rsidRPr="00B54EC6">
        <w:t xml:space="preserve"> д</w:t>
      </w:r>
      <w:r w:rsidR="009F4D24" w:rsidRPr="00B54EC6">
        <w:t>о тошноты вбивал инвесторам в головы идею паритета на ужесточении денежной политики ФРС, а когда выяснилось, что ФРС не может себе позволить действовать агрессивно, подключил</w:t>
      </w:r>
      <w:r w:rsidR="00D6663F" w:rsidRPr="00B54EC6">
        <w:t xml:space="preserve">ась сказка </w:t>
      </w:r>
      <w:r w:rsidR="009F4D24" w:rsidRPr="00B54EC6">
        <w:t>о налоговой реформе Трампа</w:t>
      </w:r>
      <w:r w:rsidR="000316E4" w:rsidRPr="00B54EC6">
        <w:t>.</w:t>
      </w:r>
    </w:p>
    <w:p w:rsidR="00ED77F0" w:rsidRPr="00B54EC6" w:rsidRDefault="009F4D24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>До определенного момента коррекция в долларе была оправда</w:t>
      </w:r>
      <w:r w:rsidR="000316E4" w:rsidRPr="00B54EC6">
        <w:t>н</w:t>
      </w:r>
      <w:r w:rsidRPr="00B54EC6">
        <w:t xml:space="preserve">а, но с весны стала наблюдаться откровенная </w:t>
      </w:r>
      <w:proofErr w:type="spellStart"/>
      <w:r w:rsidRPr="00B54EC6">
        <w:t>раскорреляция</w:t>
      </w:r>
      <w:proofErr w:type="spellEnd"/>
      <w:r w:rsidRPr="00B54EC6">
        <w:t xml:space="preserve"> между курсом EUR/USD и дифференциалом процентных</w:t>
      </w:r>
      <w:r w:rsidR="00D6663F" w:rsidRPr="00B54EC6">
        <w:t xml:space="preserve"> ставок, которая оправдывалась политическими факторами. С одной стороны, в ЕС с победой </w:t>
      </w:r>
      <w:proofErr w:type="spellStart"/>
      <w:r w:rsidR="00D6663F" w:rsidRPr="00B54EC6">
        <w:t>Макрона</w:t>
      </w:r>
      <w:proofErr w:type="spellEnd"/>
      <w:r w:rsidR="00D6663F" w:rsidRPr="00B54EC6">
        <w:t xml:space="preserve"> во Франции наступила политическая идиллия, с другой стороны, позиции Трампа все ухудшались, он шел от скандала к скандалу, и инвесторы уже начали всерьёз бояться того, что дело может дойти до импичмента. Обстановка к осени накалилась, притом, что настало время поднимать планку госдолга и согласовывать проект бюджета на следующий год. Однако, вопреки страхам, демократы не стали использовать тему госдолга для политического шантажа, а Сенат на прошлой неделе принял бюджетную резолюцию, открывающую Трампу дверь к реализации налоговой реформ</w:t>
      </w:r>
      <w:r w:rsidR="0000532C" w:rsidRPr="00B54EC6">
        <w:t>ы</w:t>
      </w:r>
      <w:r w:rsidR="00D6663F" w:rsidRPr="00B54EC6">
        <w:t>. Слово теперь за нижней палатой, но полдела сделано. В тоже время евро продолжает оставаться под давлением каталонского кризиса в Испании. Мадрид приостановил действие автономии</w:t>
      </w:r>
      <w:r w:rsidR="0000532C" w:rsidRPr="00B54EC6">
        <w:t xml:space="preserve"> Каталонии</w:t>
      </w:r>
      <w:r w:rsidR="00D6663F" w:rsidRPr="00B54EC6">
        <w:t>, Барселона отказалась признать это решение</w:t>
      </w:r>
      <w:r w:rsidR="001D6805" w:rsidRPr="00B54EC6">
        <w:t>. Н</w:t>
      </w:r>
      <w:r w:rsidR="00D6663F" w:rsidRPr="00B54EC6">
        <w:t>арод солидарен с правительством</w:t>
      </w:r>
      <w:r w:rsidR="001D6805" w:rsidRPr="00B54EC6">
        <w:t xml:space="preserve"> автономии</w:t>
      </w:r>
      <w:r w:rsidR="00B8523D" w:rsidRPr="00B54EC6">
        <w:t>, ситуация может пойти по сценарию силового подавления региона, что крайне негативно скажется на оценке политических рисков Испании и</w:t>
      </w:r>
      <w:r w:rsidR="00ED77F0" w:rsidRPr="00B54EC6">
        <w:t>, как следствие, на ее долгах.</w:t>
      </w:r>
    </w:p>
    <w:p w:rsidR="00B8523D" w:rsidRPr="00B54EC6" w:rsidRDefault="00ED77F0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>Э</w:t>
      </w:r>
      <w:r w:rsidR="00B8523D" w:rsidRPr="00B54EC6">
        <w:t xml:space="preserve">ти события развиваются на фоне того, что аналитический </w:t>
      </w:r>
      <w:proofErr w:type="spellStart"/>
      <w:r w:rsidR="00B8523D" w:rsidRPr="00B54EC6">
        <w:t>мейнстрим</w:t>
      </w:r>
      <w:proofErr w:type="spellEnd"/>
      <w:r w:rsidR="00B8523D" w:rsidRPr="00B54EC6">
        <w:t xml:space="preserve"> за полгода успел на 100% «переобуться в воздухе», и сегодня среди прогнозов ведущих инвестиционных домов невозможно найти </w:t>
      </w:r>
      <w:r w:rsidRPr="00B54EC6">
        <w:t>н</w:t>
      </w:r>
      <w:r w:rsidR="00B8523D" w:rsidRPr="00B54EC6">
        <w:t xml:space="preserve">и одного, который прогнозировал бы сколько-нибудь серьезную коррекцию евро. Позиционирование спекулянтов во фьючерсах также остаётся бычьим, хотя пыл ощутимо остыл – </w:t>
      </w:r>
      <w:proofErr w:type="spellStart"/>
      <w:r w:rsidR="00B8523D" w:rsidRPr="00B54EC6">
        <w:t>нетто-лонг</w:t>
      </w:r>
      <w:proofErr w:type="spellEnd"/>
      <w:r w:rsidR="00B8523D" w:rsidRPr="00B54EC6">
        <w:t xml:space="preserve"> в евро за неделю до 17-го октября</w:t>
      </w:r>
      <w:r w:rsidRPr="00B54EC6">
        <w:t xml:space="preserve"> по данным CFTC</w:t>
      </w:r>
      <w:r w:rsidR="00B8523D" w:rsidRPr="00B54EC6">
        <w:t xml:space="preserve"> сократился на </w:t>
      </w:r>
      <w:r w:rsidRPr="00B54EC6">
        <w:t>$</w:t>
      </w:r>
      <w:r w:rsidR="00B8523D" w:rsidRPr="00B54EC6">
        <w:t>3 млрд.</w:t>
      </w:r>
    </w:p>
    <w:p w:rsidR="00B8523D" w:rsidRPr="00B54EC6" w:rsidRDefault="00B8523D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 xml:space="preserve">Все перечисленное, конечно, является питательной средой для дальнейшего роста доллара. Мы полагаем, что разочарование в среднесрочных перспективах евро приведет к тому, что будущие планы ЕЦБ, которые должны быть озвучены на этой неделе, будут восприняты как недостаточно жесткие, если только они не будут радикальными. А радикальными они не будут, потому что инфляция в еврозоне не только не растет, но и, по прогнозам, может снова начать снижаться в среднесрочной перспективе. Так что мы уверены в том, что EUR/USD будет снова штурмовать линию «шеи» в районе 1.165-1.170, и с высокой вероятностью пробьет ее </w:t>
      </w:r>
      <w:r w:rsidR="009673EF" w:rsidRPr="00B54EC6">
        <w:t xml:space="preserve">вниз </w:t>
      </w:r>
      <w:r w:rsidRPr="00B54EC6">
        <w:t>на этой неделе</w:t>
      </w:r>
      <w:r w:rsidR="009673EF" w:rsidRPr="00B54EC6">
        <w:t>. Д</w:t>
      </w:r>
      <w:r w:rsidRPr="00B54EC6">
        <w:t>альнейшая коррекция евро</w:t>
      </w:r>
      <w:r w:rsidR="00551C26" w:rsidRPr="00B54EC6">
        <w:t>, скорее всего,</w:t>
      </w:r>
      <w:r w:rsidRPr="00B54EC6">
        <w:t xml:space="preserve"> будет неожиданно глубокой.</w:t>
      </w:r>
    </w:p>
    <w:p w:rsidR="009673EF" w:rsidRPr="00B54EC6" w:rsidRDefault="009673EF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lastRenderedPageBreak/>
        <w:t xml:space="preserve">Британская валюта остается зависимой от слухов вокруг переговоров по </w:t>
      </w:r>
      <w:proofErr w:type="spellStart"/>
      <w:r w:rsidRPr="00B54EC6">
        <w:t>Brexit</w:t>
      </w:r>
      <w:proofErr w:type="spellEnd"/>
      <w:r w:rsidRPr="00B54EC6">
        <w:t>,</w:t>
      </w:r>
      <w:r w:rsidR="00127C94" w:rsidRPr="00B54EC6">
        <w:t xml:space="preserve"> причем последние комментарии политиков удержали фунт от развития нисходящего движения. Так председатель </w:t>
      </w:r>
      <w:proofErr w:type="spellStart"/>
      <w:r w:rsidR="00127C94" w:rsidRPr="00B54EC6">
        <w:t>Евросовета</w:t>
      </w:r>
      <w:proofErr w:type="spellEnd"/>
      <w:r w:rsidR="00127C94" w:rsidRPr="00B54EC6">
        <w:t xml:space="preserve"> Дональд Туск отметил, что говорить о тупике переговоров – преувеличение. Если прогресс незначительный, это не значит, что его нет вообще. Он выразил надежду, что следующая фаза переговоров может начаться в декабре, и это подтвердила канцлер Германии Ангела Меркель.</w:t>
      </w:r>
    </w:p>
    <w:p w:rsidR="00127C94" w:rsidRPr="00B54EC6" w:rsidRDefault="00127C94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 xml:space="preserve">Технически GBP/USD пока что остается в рамках </w:t>
      </w:r>
      <w:r w:rsidR="001C0C6E" w:rsidRPr="00B54EC6">
        <w:t>восходящего среднесрочного</w:t>
      </w:r>
      <w:r w:rsidRPr="00B54EC6">
        <w:t xml:space="preserve"> канала, и мы полагаем, что политические страхи сейчас отойдут на второй план, а поддержку британской валюте </w:t>
      </w:r>
      <w:r w:rsidR="001C0C6E" w:rsidRPr="00B54EC6">
        <w:t>о</w:t>
      </w:r>
      <w:r w:rsidRPr="00B54EC6">
        <w:t>кажет Банк Англии, у которого уже практически нет выбора в вопросе ужесточения денежной политики – ему придется на это пойти. В связи с этим</w:t>
      </w:r>
      <w:r w:rsidR="001C0C6E" w:rsidRPr="00B54EC6">
        <w:t>,</w:t>
      </w:r>
      <w:r w:rsidRPr="00B54EC6">
        <w:t xml:space="preserve"> мы отмечаем некоторый сохраняющийся потенциал восстановления, и полагаем, что лучше всего отыграть его </w:t>
      </w:r>
      <w:proofErr w:type="spellStart"/>
      <w:r w:rsidRPr="00B54EC6">
        <w:t>шортом</w:t>
      </w:r>
      <w:proofErr w:type="spellEnd"/>
      <w:r w:rsidRPr="00B54EC6">
        <w:t xml:space="preserve"> в паре EUR/GBP.</w:t>
      </w:r>
    </w:p>
    <w:p w:rsidR="00FA394B" w:rsidRPr="00B54EC6" w:rsidRDefault="00FA394B" w:rsidP="00FA394B">
      <w:pPr>
        <w:shd w:val="clear" w:color="auto" w:fill="FFFFFF"/>
        <w:spacing w:after="150" w:line="288" w:lineRule="atLeast"/>
        <w:jc w:val="both"/>
        <w:outlineLvl w:val="2"/>
      </w:pPr>
      <w:r w:rsidRPr="00B54EC6">
        <w:t xml:space="preserve">В Японии прошли выборы и по данным наблюдателей правящая коалиция, возглавляемая премьером </w:t>
      </w:r>
      <w:proofErr w:type="spellStart"/>
      <w:r w:rsidRPr="00B54EC6">
        <w:t>СиндзоАбэ</w:t>
      </w:r>
      <w:proofErr w:type="spellEnd"/>
      <w:r w:rsidRPr="00B54EC6">
        <w:t>, вопреки опасениям одержала убедительную победу на воскресных выборах, сохранив за собой около 2/3 мест в парламенте, необходимых для изменения конституции. Это означает продолжение «</w:t>
      </w:r>
      <w:proofErr w:type="spellStart"/>
      <w:r w:rsidRPr="00B54EC6">
        <w:t>абэномики</w:t>
      </w:r>
      <w:proofErr w:type="spellEnd"/>
      <w:r w:rsidRPr="00B54EC6">
        <w:t xml:space="preserve">» и снимает риски укрепления йены. USD/JPY утром в понедельник растет на азиатских торгах, мы ожидаем, что пара протестирует на неделе уровень 114.4 и, если Пхеньян и Вашингтон не нагонят снова региональных страхов, уровень будет пробит вверх, однако легко закрепиться выше паре не удастся. Техническая картина говорит о том, что уверенное взятие этого уровня может открыть дорогу к очень высоким целям, – максимумы начала конца прошлого/начала этого года будут </w:t>
      </w:r>
      <w:r w:rsidR="002A6469">
        <w:t xml:space="preserve">лишь промежуточной остановкой, </w:t>
      </w:r>
      <w:r w:rsidRPr="00B54EC6">
        <w:t xml:space="preserve"> и рынок пока не готов к этому.</w:t>
      </w:r>
    </w:p>
    <w:p w:rsidR="00D32B3B" w:rsidRPr="00B54EC6" w:rsidRDefault="00EF4D53" w:rsidP="00FA394B">
      <w:pPr>
        <w:shd w:val="clear" w:color="auto" w:fill="FFFFFF"/>
        <w:spacing w:after="150" w:line="288" w:lineRule="atLeast"/>
        <w:jc w:val="both"/>
        <w:outlineLvl w:val="2"/>
      </w:pPr>
      <w:r w:rsidRPr="00B54EC6">
        <w:t>Нефть остается под некоторым давлением, несмотря на ряд позитивных факторов, которые ее поддерживают. В минувшую субботу состоялось очередное заседание комитета ОПЕК+, по итогам которого сообщили, что уровень исполнения ими обязательств, принятых на себя в рамках сделки по сокращению добычи, достиг новых рекордных значений. Кроме того, ОПЕК+ подтвердили, что по-прежнему «оставляют дверь открытой» для любых новых мер, направленных на восстановление баланса на рынке нефти.</w:t>
      </w:r>
      <w:r w:rsidR="00D32B3B" w:rsidRPr="00B54EC6">
        <w:t xml:space="preserve"> Данные </w:t>
      </w:r>
      <w:proofErr w:type="spellStart"/>
      <w:r w:rsidR="00D32B3B" w:rsidRPr="00B54EC6">
        <w:t>BakerHughes</w:t>
      </w:r>
      <w:proofErr w:type="spellEnd"/>
      <w:r w:rsidR="00D32B3B" w:rsidRPr="00B54EC6">
        <w:t xml:space="preserve"> по буровым установкам вновь сигнализируют о снижении. Тем не менее, из последние данные CFTC за неделю до 17 октября указывают на сокращение </w:t>
      </w:r>
      <w:proofErr w:type="spellStart"/>
      <w:r w:rsidR="00D32B3B" w:rsidRPr="00B54EC6">
        <w:t>нетто-лонга</w:t>
      </w:r>
      <w:proofErr w:type="spellEnd"/>
      <w:r w:rsidR="00D32B3B" w:rsidRPr="00B54EC6">
        <w:t xml:space="preserve"> в нефти до 4-недельного минимума. График объема </w:t>
      </w:r>
      <w:proofErr w:type="spellStart"/>
      <w:r w:rsidR="00D32B3B" w:rsidRPr="00B54EC6">
        <w:t>нетто-лонга</w:t>
      </w:r>
      <w:proofErr w:type="spellEnd"/>
      <w:r w:rsidR="00D32B3B" w:rsidRPr="00B54EC6">
        <w:t xml:space="preserve"> с весны сформировал четкий нисходящий </w:t>
      </w:r>
      <w:proofErr w:type="spellStart"/>
      <w:r w:rsidR="00D32B3B" w:rsidRPr="00B54EC6">
        <w:t>трнед</w:t>
      </w:r>
      <w:proofErr w:type="spellEnd"/>
      <w:r w:rsidR="00D32B3B" w:rsidRPr="00B54EC6">
        <w:t>, который можно построить по максимумам апреля, августа и начала октября, который указывает на то, что текущие ценовые уровни очень привлекательны для хеджирования рисков снижения цены, и этим активно пользуются производители. Эта тенденция на фоне продолжения роста ставок в США и начавшегося укрепления доллара по всему спектру FOREX не даст нефти воспользоваться благоприятными новостями. Мы не ожидаем в краткосрочной перспективе от Brent попыток штурма $60 за баррель, в среднесрочной перспективе котировки будут заперты в узком диапазоне $55 – 59 за баррель. Соответственно, не стоит ждать от нефти поддержки сырьевым валютам. На фоне усиления USD, CAD и AUD сдадут свои позиции.</w:t>
      </w:r>
    </w:p>
    <w:p w:rsidR="00426D7B" w:rsidRPr="00B54EC6" w:rsidRDefault="00426D7B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>Доллар/рубль</w:t>
      </w:r>
    </w:p>
    <w:p w:rsidR="003977BF" w:rsidRPr="00B54EC6" w:rsidRDefault="00D32B3B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 xml:space="preserve">Наше мнение по рублю уже на протяжении длительного времени остается неизменным: мы не видим потенциала ослабления пары, и советуем выкупать все просадки в направлении 57. </w:t>
      </w:r>
      <w:r w:rsidR="003977BF" w:rsidRPr="00B54EC6">
        <w:t xml:space="preserve">Нефть не даст рублю стимулов укрепления, динамика доходности в США и общее усиление доллара на фоне смягчающейся монетарной политики Банка России будет провоцировать ослабление. Впереди у рубля конец года, когда сезонно перед длинными праздниками растет импорт, инфляция, судорожно осваиваются остатки годового бюджета, которые часто не успели израсходовать в срок, а также растут выплаты по внешнему долгу. Надо отметить, впрочем, что </w:t>
      </w:r>
      <w:r w:rsidR="003977BF" w:rsidRPr="00B54EC6">
        <w:lastRenderedPageBreak/>
        <w:t>рубль достойно перенес всплеск дефицита долларовой ликвидности в сентябре и отток капитала, вызванный банковским кризисом. Пара USD/RUB сформировала достаточно сильное сопротивление в районе 58.4, и, возможно, при очередном восстановлении пары к этой границе целесообразно частичное сокращение длинн</w:t>
      </w:r>
      <w:r w:rsidR="00B80AA4" w:rsidRPr="00B54EC6">
        <w:t xml:space="preserve">ой позиции в расчете на то, что коридорс этой верхней границей </w:t>
      </w:r>
      <w:r w:rsidR="003977BF" w:rsidRPr="00B54EC6">
        <w:t>сохранится</w:t>
      </w:r>
      <w:r w:rsidR="00B80AA4" w:rsidRPr="00B54EC6">
        <w:t xml:space="preserve"> еще некоторое время. Однако выход из него мы</w:t>
      </w:r>
      <w:r w:rsidR="003977BF" w:rsidRPr="00B54EC6">
        <w:t xml:space="preserve"> ожидаем вверх.</w:t>
      </w:r>
    </w:p>
    <w:p w:rsidR="00426D7B" w:rsidRPr="00B54EC6" w:rsidRDefault="00426D7B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>Фондовый рынок</w:t>
      </w:r>
    </w:p>
    <w:p w:rsidR="009B72BC" w:rsidRDefault="00B80AA4" w:rsidP="00426D7B">
      <w:pPr>
        <w:shd w:val="clear" w:color="auto" w:fill="FFFFFF"/>
        <w:spacing w:after="150" w:line="288" w:lineRule="atLeast"/>
        <w:jc w:val="both"/>
        <w:outlineLvl w:val="2"/>
      </w:pPr>
      <w:r w:rsidRPr="00B54EC6">
        <w:t xml:space="preserve">Фондовый рынок США, ведомый вновь растущими надеждами на налоговые реформы, продолжает рост, что не позволяет нам пока что высказывать скептицизм относительно российского рынка. </w:t>
      </w:r>
      <w:r w:rsidR="00426D7B" w:rsidRPr="00B54EC6">
        <w:t>РТС,</w:t>
      </w:r>
      <w:r w:rsidRPr="00B54EC6">
        <w:t xml:space="preserve"> хоть и не будет поддержан сильным рублём, может быть поддержан общим ростом аппетита к риску. Тем не менее, мы по-прежнему не ожидаем позитивной динамики, сохраняя нейтральный взгляд на российский рынок в краткосрочной </w:t>
      </w:r>
      <w:r w:rsidR="009B72BC" w:rsidRPr="00B54EC6">
        <w:t>перспективе</w:t>
      </w:r>
      <w:r w:rsidRPr="00B54EC6">
        <w:t xml:space="preserve">. </w:t>
      </w:r>
      <w:r w:rsidR="009B72BC" w:rsidRPr="00B54EC6">
        <w:t>В среднесрочной перспективе, ближе к концу года, рынок может быть поддержан сезонным «рождественским ралли». Техническая картина подразумевает торговлю в диапазоне, среднесрочный тренд, на наш взгляд, сейчас не определён. Рост, дливш</w:t>
      </w:r>
      <w:r w:rsidR="002778D8">
        <w:t>и</w:t>
      </w:r>
      <w:r w:rsidR="009B72BC" w:rsidRPr="00B54EC6">
        <w:t xml:space="preserve">йся несколько месяцев, </w:t>
      </w:r>
      <w:r w:rsidR="002778D8" w:rsidRPr="00B54EC6">
        <w:t>закончен,</w:t>
      </w:r>
      <w:r w:rsidR="009B72BC" w:rsidRPr="00B54EC6">
        <w:t xml:space="preserve"> на что указывает серия дивергенций на продажу на дневном </w:t>
      </w:r>
      <w:proofErr w:type="spellStart"/>
      <w:r w:rsidR="009B72BC" w:rsidRPr="00B54EC6">
        <w:t>таймфрейме</w:t>
      </w:r>
      <w:proofErr w:type="spellEnd"/>
      <w:r w:rsidR="009B72BC" w:rsidRPr="00B54EC6">
        <w:t>, но серьезная коррекция неспособна развиться на текущем внешнем фоне.</w:t>
      </w:r>
    </w:p>
    <w:p w:rsidR="00B54EC6" w:rsidRDefault="00B54EC6" w:rsidP="00B54EC6">
      <w:pPr>
        <w:shd w:val="clear" w:color="auto" w:fill="FFFFFF"/>
        <w:spacing w:before="100" w:beforeAutospacing="1" w:after="270" w:line="240" w:lineRule="auto"/>
        <w:jc w:val="right"/>
      </w:pPr>
      <w:r w:rsidRPr="00071370">
        <w:t xml:space="preserve">Дмитрий  </w:t>
      </w:r>
      <w:proofErr w:type="spellStart"/>
      <w:r w:rsidRPr="00071370">
        <w:t>Голубовский</w:t>
      </w:r>
      <w:proofErr w:type="spellEnd"/>
      <w:r w:rsidRPr="00071370">
        <w:t xml:space="preserve"> аналитик </w:t>
      </w:r>
      <w:hyperlink r:id="rId5" w:history="1">
        <w:r w:rsidRPr="00071370">
          <w:t>ФГ «</w:t>
        </w:r>
        <w:proofErr w:type="spellStart"/>
        <w:r w:rsidRPr="00071370">
          <w:t>Калита-Финанс</w:t>
        </w:r>
        <w:proofErr w:type="spellEnd"/>
        <w:r w:rsidRPr="00071370">
          <w:t>»</w:t>
        </w:r>
      </w:hyperlink>
    </w:p>
    <w:p w:rsidR="001E3CCD" w:rsidRDefault="00736957" w:rsidP="00426D7B">
      <w:pPr>
        <w:shd w:val="clear" w:color="auto" w:fill="FFFFFF"/>
        <w:spacing w:after="150" w:line="288" w:lineRule="atLeast"/>
        <w:jc w:val="both"/>
        <w:outlineLvl w:val="2"/>
      </w:pPr>
      <w:r>
        <w:t>Подробно:</w:t>
      </w:r>
      <w:hyperlink r:id="rId6" w:history="1">
        <w:r w:rsidRPr="001C02AD">
          <w:rPr>
            <w:rStyle w:val="a5"/>
          </w:rPr>
          <w:t>https://www.kalita-finance.ru/analitika/goryachie-situacii-nedeli/dollar-usilivaetsya-na-pereocenke-politicheskih-riskov</w:t>
        </w:r>
      </w:hyperlink>
    </w:p>
    <w:p w:rsidR="00736957" w:rsidRPr="00B54EC6" w:rsidRDefault="00736957" w:rsidP="00426D7B">
      <w:pPr>
        <w:shd w:val="clear" w:color="auto" w:fill="FFFFFF"/>
        <w:spacing w:after="150" w:line="288" w:lineRule="atLeast"/>
        <w:jc w:val="both"/>
        <w:outlineLvl w:val="2"/>
      </w:pPr>
    </w:p>
    <w:sectPr w:rsidR="00736957" w:rsidRPr="00B54EC6" w:rsidSect="0044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F49"/>
    <w:rsid w:val="00000F82"/>
    <w:rsid w:val="0000532C"/>
    <w:rsid w:val="000316E4"/>
    <w:rsid w:val="000433CF"/>
    <w:rsid w:val="000F784B"/>
    <w:rsid w:val="00127C94"/>
    <w:rsid w:val="00132C7C"/>
    <w:rsid w:val="00187C6F"/>
    <w:rsid w:val="001952F1"/>
    <w:rsid w:val="001C0C6E"/>
    <w:rsid w:val="001D6805"/>
    <w:rsid w:val="001E3CCD"/>
    <w:rsid w:val="002306E4"/>
    <w:rsid w:val="00260F49"/>
    <w:rsid w:val="002778D8"/>
    <w:rsid w:val="00295185"/>
    <w:rsid w:val="002A6469"/>
    <w:rsid w:val="002C720E"/>
    <w:rsid w:val="003014D1"/>
    <w:rsid w:val="003018D9"/>
    <w:rsid w:val="00317066"/>
    <w:rsid w:val="003448C3"/>
    <w:rsid w:val="00374D73"/>
    <w:rsid w:val="003836F0"/>
    <w:rsid w:val="00395A07"/>
    <w:rsid w:val="003977BF"/>
    <w:rsid w:val="003E156C"/>
    <w:rsid w:val="00400BB0"/>
    <w:rsid w:val="00405F54"/>
    <w:rsid w:val="004214CF"/>
    <w:rsid w:val="00426D7B"/>
    <w:rsid w:val="0043208A"/>
    <w:rsid w:val="00433CA8"/>
    <w:rsid w:val="00440A47"/>
    <w:rsid w:val="004A014E"/>
    <w:rsid w:val="004B3D59"/>
    <w:rsid w:val="004C7ACF"/>
    <w:rsid w:val="004F7353"/>
    <w:rsid w:val="005321B5"/>
    <w:rsid w:val="00551C26"/>
    <w:rsid w:val="00570862"/>
    <w:rsid w:val="005A04D3"/>
    <w:rsid w:val="005D1A5E"/>
    <w:rsid w:val="00624337"/>
    <w:rsid w:val="00681691"/>
    <w:rsid w:val="006E5556"/>
    <w:rsid w:val="007155C0"/>
    <w:rsid w:val="00733B63"/>
    <w:rsid w:val="00736957"/>
    <w:rsid w:val="00750625"/>
    <w:rsid w:val="007C6182"/>
    <w:rsid w:val="00851A58"/>
    <w:rsid w:val="00895A91"/>
    <w:rsid w:val="0091562C"/>
    <w:rsid w:val="00935254"/>
    <w:rsid w:val="00935BC7"/>
    <w:rsid w:val="009673EF"/>
    <w:rsid w:val="00976474"/>
    <w:rsid w:val="009B60B1"/>
    <w:rsid w:val="009B72BC"/>
    <w:rsid w:val="009F4D24"/>
    <w:rsid w:val="00A01F74"/>
    <w:rsid w:val="00A35E9E"/>
    <w:rsid w:val="00A85614"/>
    <w:rsid w:val="00AD6FBB"/>
    <w:rsid w:val="00B00558"/>
    <w:rsid w:val="00B16CEC"/>
    <w:rsid w:val="00B32642"/>
    <w:rsid w:val="00B348F8"/>
    <w:rsid w:val="00B54EC6"/>
    <w:rsid w:val="00B67287"/>
    <w:rsid w:val="00B80AA4"/>
    <w:rsid w:val="00B8523D"/>
    <w:rsid w:val="00C76B60"/>
    <w:rsid w:val="00CA02A2"/>
    <w:rsid w:val="00D235B4"/>
    <w:rsid w:val="00D32B3B"/>
    <w:rsid w:val="00D6663F"/>
    <w:rsid w:val="00D82D80"/>
    <w:rsid w:val="00D86708"/>
    <w:rsid w:val="00DA3D0F"/>
    <w:rsid w:val="00DF5F79"/>
    <w:rsid w:val="00E033B9"/>
    <w:rsid w:val="00E94362"/>
    <w:rsid w:val="00E9620C"/>
    <w:rsid w:val="00ED0AC4"/>
    <w:rsid w:val="00ED77F0"/>
    <w:rsid w:val="00EF4D53"/>
    <w:rsid w:val="00FA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9"/>
  </w:style>
  <w:style w:type="paragraph" w:styleId="2">
    <w:name w:val="heading 2"/>
    <w:basedOn w:val="a"/>
    <w:link w:val="20"/>
    <w:uiPriority w:val="9"/>
    <w:qFormat/>
    <w:rsid w:val="00D23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32B3B"/>
    <w:rPr>
      <w:b/>
      <w:bCs/>
    </w:rPr>
  </w:style>
  <w:style w:type="character" w:styleId="a5">
    <w:name w:val="Hyperlink"/>
    <w:basedOn w:val="a0"/>
    <w:uiPriority w:val="99"/>
    <w:unhideWhenUsed/>
    <w:rsid w:val="001E3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9"/>
  </w:style>
  <w:style w:type="paragraph" w:styleId="2">
    <w:name w:val="heading 2"/>
    <w:basedOn w:val="a"/>
    <w:link w:val="20"/>
    <w:uiPriority w:val="9"/>
    <w:qFormat/>
    <w:rsid w:val="00D23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32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lita-finance.ru/analitika/goryachie-situacii-nedeli/dollar-usilivaetsya-na-pereocenke-politicheskih-riskov" TargetMode="External"/><Relationship Id="rId5" Type="http://schemas.openxmlformats.org/officeDocument/2006/relationships/hyperlink" Target="https://www.kalita-financ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170B-0AF5-403A-B304-C3E22B51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Goga</cp:lastModifiedBy>
  <cp:revision>4</cp:revision>
  <dcterms:created xsi:type="dcterms:W3CDTF">2017-10-23T06:38:00Z</dcterms:created>
  <dcterms:modified xsi:type="dcterms:W3CDTF">2017-10-23T06:57:00Z</dcterms:modified>
</cp:coreProperties>
</file>